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38A" w:rsidRPr="009A27EC" w:rsidRDefault="00770D72" w:rsidP="005C638A">
      <w:pPr>
        <w:pStyle w:val="1"/>
        <w:jc w:val="right"/>
        <w:rPr>
          <w:b w:val="0"/>
          <w:sz w:val="24"/>
          <w:szCs w:val="24"/>
        </w:rPr>
      </w:pPr>
      <w:r>
        <w:rPr>
          <w:b w:val="0"/>
          <w:sz w:val="24"/>
          <w:szCs w:val="24"/>
        </w:rPr>
        <w:t>Приложение</w:t>
      </w:r>
    </w:p>
    <w:p w:rsidR="005C638A" w:rsidRPr="009A27EC" w:rsidRDefault="005C638A" w:rsidP="005C638A">
      <w:pPr>
        <w:pStyle w:val="1"/>
        <w:jc w:val="right"/>
        <w:rPr>
          <w:b w:val="0"/>
          <w:sz w:val="24"/>
          <w:szCs w:val="24"/>
        </w:rPr>
      </w:pPr>
      <w:r w:rsidRPr="009A27EC">
        <w:rPr>
          <w:b w:val="0"/>
          <w:sz w:val="24"/>
          <w:szCs w:val="24"/>
        </w:rPr>
        <w:t xml:space="preserve">к </w:t>
      </w:r>
      <w:r>
        <w:rPr>
          <w:b w:val="0"/>
          <w:sz w:val="24"/>
          <w:szCs w:val="24"/>
        </w:rPr>
        <w:t>и</w:t>
      </w:r>
      <w:r w:rsidRPr="009A27EC">
        <w:rPr>
          <w:b w:val="0"/>
          <w:sz w:val="24"/>
          <w:szCs w:val="24"/>
        </w:rPr>
        <w:t>звещению о проведении конкурентного анализа</w:t>
      </w:r>
    </w:p>
    <w:p w:rsidR="005C638A" w:rsidRPr="009A27EC" w:rsidRDefault="005C638A" w:rsidP="005C638A">
      <w:pPr>
        <w:jc w:val="center"/>
        <w:rPr>
          <w:sz w:val="24"/>
          <w:szCs w:val="24"/>
        </w:rPr>
      </w:pPr>
    </w:p>
    <w:p w:rsidR="005C638A" w:rsidRPr="009A27EC" w:rsidRDefault="005C638A" w:rsidP="005C638A">
      <w:pPr>
        <w:jc w:val="center"/>
        <w:rPr>
          <w:sz w:val="24"/>
          <w:szCs w:val="24"/>
        </w:rPr>
      </w:pPr>
      <w:r w:rsidRPr="009A27EC">
        <w:rPr>
          <w:sz w:val="24"/>
          <w:szCs w:val="24"/>
        </w:rPr>
        <w:t xml:space="preserve">ЗАЯВКА НА УЧАСТИЕ В </w:t>
      </w:r>
      <w:r>
        <w:rPr>
          <w:sz w:val="24"/>
          <w:szCs w:val="24"/>
        </w:rPr>
        <w:t xml:space="preserve">ЗАКРЫТОМ </w:t>
      </w:r>
      <w:r w:rsidRPr="009A27EC">
        <w:rPr>
          <w:sz w:val="24"/>
          <w:szCs w:val="24"/>
        </w:rPr>
        <w:t>КОНКУРЕНТНОМ АНАЛИЗЕ</w:t>
      </w:r>
    </w:p>
    <w:p w:rsidR="005C638A" w:rsidRPr="009A27EC" w:rsidRDefault="005C638A" w:rsidP="005C638A">
      <w:pPr>
        <w:jc w:val="both"/>
        <w:rPr>
          <w:sz w:val="24"/>
          <w:szCs w:val="24"/>
        </w:rPr>
      </w:pPr>
    </w:p>
    <w:p w:rsidR="005C638A" w:rsidRPr="009A27EC" w:rsidRDefault="005C638A" w:rsidP="005C638A">
      <w:pPr>
        <w:spacing w:before="120" w:line="276" w:lineRule="auto"/>
        <w:ind w:firstLine="709"/>
        <w:jc w:val="both"/>
      </w:pPr>
      <w:r w:rsidRPr="009A27EC">
        <w:t>Изучив Извещение о проведении конкурентного анализа</w:t>
      </w:r>
      <w:r w:rsidRPr="009A27EC">
        <w:rPr>
          <w:i/>
          <w:sz w:val="24"/>
          <w:szCs w:val="24"/>
        </w:rPr>
        <w:t xml:space="preserve"> </w:t>
      </w:r>
      <w:r w:rsidRPr="009A27EC">
        <w:t xml:space="preserve">на право заключения договора на ______________, </w:t>
      </w:r>
      <w:r>
        <w:t>направленное в виде приглашения</w:t>
      </w:r>
      <w:r w:rsidRPr="009A27EC">
        <w:t>, и принимая установленные в нем требования и условия конкурентного анализа, ________________________________________________________,</w:t>
      </w:r>
    </w:p>
    <w:p w:rsidR="005C638A" w:rsidRPr="009A27EC" w:rsidRDefault="005C638A" w:rsidP="005C638A">
      <w:pPr>
        <w:spacing w:line="276" w:lineRule="auto"/>
        <w:jc w:val="both"/>
        <w:rPr>
          <w:i/>
        </w:rPr>
      </w:pPr>
      <w:r w:rsidRPr="009A27EC">
        <w:rPr>
          <w:i/>
        </w:rPr>
        <w:t xml:space="preserve">                                                                                          (полное наименование участника процедуры</w:t>
      </w:r>
    </w:p>
    <w:p w:rsidR="005C638A" w:rsidRPr="009A27EC" w:rsidRDefault="005C638A" w:rsidP="005C638A">
      <w:pPr>
        <w:spacing w:line="276" w:lineRule="auto"/>
        <w:jc w:val="both"/>
      </w:pPr>
      <w:r w:rsidRPr="009A27EC">
        <w:rPr>
          <w:i/>
        </w:rPr>
        <w:t xml:space="preserve">                                                                               закупки с указанием организационно-правовой формы)</w:t>
      </w:r>
    </w:p>
    <w:p w:rsidR="005C638A" w:rsidRPr="009A27EC" w:rsidRDefault="005C638A" w:rsidP="005C638A">
      <w:pPr>
        <w:spacing w:before="120" w:line="276" w:lineRule="auto"/>
        <w:jc w:val="both"/>
      </w:pPr>
      <w:r w:rsidRPr="009A27EC">
        <w:t>зарегистрированное по адресу: __________________________________________________________________,</w:t>
      </w:r>
    </w:p>
    <w:p w:rsidR="005C638A" w:rsidRPr="009A27EC" w:rsidRDefault="005C638A" w:rsidP="005C638A">
      <w:pPr>
        <w:spacing w:line="276" w:lineRule="auto"/>
        <w:jc w:val="both"/>
      </w:pPr>
      <w:r w:rsidRPr="009A27EC">
        <w:t xml:space="preserve">                                                                           </w:t>
      </w:r>
      <w:r w:rsidRPr="009A27EC">
        <w:rPr>
          <w:i/>
        </w:rPr>
        <w:t>(юридический адрес участника процедуры закупки)</w:t>
      </w:r>
    </w:p>
    <w:p w:rsidR="005C638A" w:rsidRPr="009A27EC" w:rsidRDefault="005C638A" w:rsidP="005C638A">
      <w:pPr>
        <w:spacing w:before="120" w:line="276" w:lineRule="auto"/>
        <w:jc w:val="both"/>
      </w:pPr>
      <w:r w:rsidRPr="009A27EC">
        <w:t>предлагает заключить договор на _______________________________________________________________</w:t>
      </w:r>
    </w:p>
    <w:p w:rsidR="005C638A" w:rsidRPr="009A27EC" w:rsidRDefault="005C638A" w:rsidP="005C638A">
      <w:pPr>
        <w:spacing w:line="276" w:lineRule="auto"/>
        <w:ind w:firstLine="709"/>
        <w:jc w:val="both"/>
        <w:rPr>
          <w:i/>
        </w:rPr>
      </w:pPr>
      <w:r w:rsidRPr="009A27EC">
        <w:rPr>
          <w:i/>
        </w:rPr>
        <w:t xml:space="preserve">                                                                                              (предмет договора)</w:t>
      </w:r>
    </w:p>
    <w:p w:rsidR="005C638A" w:rsidRPr="009A27EC" w:rsidRDefault="005C638A" w:rsidP="005C638A">
      <w:pPr>
        <w:contextualSpacing/>
        <w:jc w:val="both"/>
      </w:pPr>
      <w:r w:rsidRPr="009A27EC">
        <w:t xml:space="preserve">дает согласие участника конкурентного анализа: </w:t>
      </w:r>
    </w:p>
    <w:p w:rsidR="005C638A" w:rsidRPr="009A27EC" w:rsidRDefault="005C638A" w:rsidP="005C638A">
      <w:pPr>
        <w:contextualSpacing/>
        <w:jc w:val="both"/>
        <w:rPr>
          <w:rFonts w:eastAsia="Calibri"/>
          <w:i/>
        </w:rPr>
      </w:pPr>
      <w:r w:rsidRPr="009A27EC">
        <w:rPr>
          <w:rFonts w:eastAsia="Calibri"/>
          <w:i/>
        </w:rPr>
        <w:t>- на выполнение работ или оказание услуг, указанных в извещении о проведении конкурентного анализа, на условиях, предусмотренных проектом договора (в случае, если осуществляется закупка работ или услуг);</w:t>
      </w:r>
    </w:p>
    <w:p w:rsidR="005C638A" w:rsidRPr="009A27EC" w:rsidRDefault="005C638A" w:rsidP="005C638A">
      <w:pPr>
        <w:contextualSpacing/>
        <w:jc w:val="both"/>
        <w:rPr>
          <w:rFonts w:eastAsia="Calibri"/>
          <w:i/>
        </w:rPr>
      </w:pPr>
      <w:r w:rsidRPr="009A27EC">
        <w:rPr>
          <w:rFonts w:eastAsia="Calibri"/>
          <w:i/>
        </w:rPr>
        <w:t>- на поставку товара, который указан в извещении о проведении конкурентного анализа и в отношении, которого в таком извещении в соответствии с требованиями пункта 3 части 6.1 статьи 3 Федерального закона от 18.07.2011 № 223-ФЗ «О закупках товаров, работ, услуг отдельными видами юридических лиц» содержится указание на товарный знак, на условиях, предусмотренных проектом договора и не подлежащих изменению по результатам проведения конкурентного анализа;</w:t>
      </w:r>
    </w:p>
    <w:p w:rsidR="005C638A" w:rsidRPr="009A27EC" w:rsidRDefault="005C638A" w:rsidP="005C638A">
      <w:pPr>
        <w:contextualSpacing/>
        <w:jc w:val="both"/>
        <w:rPr>
          <w:rFonts w:eastAsia="Calibri"/>
          <w:i/>
        </w:rPr>
      </w:pPr>
      <w:r w:rsidRPr="009A27EC">
        <w:rPr>
          <w:rFonts w:eastAsia="Calibri"/>
          <w:i/>
        </w:rPr>
        <w:t>- на поставку товара, который указан в извещении о проведении конкурентного анализа и конкретные показатели которого соответствуют значениям эквивалентности, установленным данным извещением (в случае, если участник конкурентного анализа предлагает поставку товара, который является эквивалентным товару, указанному в таком извещении), на условиях, пр</w:t>
      </w:r>
      <w:r w:rsidR="00DC07F8">
        <w:rPr>
          <w:rFonts w:eastAsia="Calibri"/>
          <w:i/>
        </w:rPr>
        <w:t>едусмотренных проектом договора.</w:t>
      </w:r>
      <w:bookmarkStart w:id="0" w:name="_GoBack"/>
      <w:bookmarkEnd w:id="0"/>
    </w:p>
    <w:p w:rsidR="005C638A" w:rsidRPr="009A27EC" w:rsidRDefault="005C638A" w:rsidP="005C638A">
      <w:pPr>
        <w:spacing w:before="120" w:line="276" w:lineRule="auto"/>
        <w:jc w:val="both"/>
      </w:pPr>
      <w:r w:rsidRPr="009A27EC">
        <w:t>_____________________________________________________________________________________________</w:t>
      </w:r>
    </w:p>
    <w:p w:rsidR="005C638A" w:rsidRPr="009A27EC" w:rsidRDefault="005C638A" w:rsidP="005C638A">
      <w:pPr>
        <w:jc w:val="both"/>
      </w:pPr>
    </w:p>
    <w:p w:rsidR="005C638A" w:rsidRPr="009A27EC" w:rsidRDefault="005C638A" w:rsidP="005C638A">
      <w:pPr>
        <w:rPr>
          <w:i/>
          <w:sz w:val="24"/>
          <w:szCs w:val="24"/>
        </w:rPr>
      </w:pPr>
    </w:p>
    <w:p w:rsidR="005C638A" w:rsidRPr="009A27EC" w:rsidRDefault="005C638A" w:rsidP="005C638A">
      <w:pPr>
        <w:keepNext/>
        <w:rPr>
          <w:i/>
          <w:sz w:val="24"/>
          <w:szCs w:val="24"/>
        </w:rPr>
      </w:pPr>
      <w:r w:rsidRPr="009A27EC">
        <w:rPr>
          <w:i/>
          <w:sz w:val="24"/>
          <w:szCs w:val="24"/>
        </w:rPr>
        <w:t>Анкета участника процедуры закупки:</w:t>
      </w:r>
    </w:p>
    <w:p w:rsidR="005C638A" w:rsidRPr="009A27EC" w:rsidRDefault="005C638A" w:rsidP="005C638A">
      <w:pPr>
        <w:rPr>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476"/>
        <w:gridCol w:w="3078"/>
      </w:tblGrid>
      <w:tr w:rsidR="005C638A" w:rsidRPr="009A27EC" w:rsidTr="00C72406">
        <w:tc>
          <w:tcPr>
            <w:tcW w:w="709" w:type="dxa"/>
            <w:shd w:val="clear" w:color="auto" w:fill="auto"/>
            <w:vAlign w:val="center"/>
          </w:tcPr>
          <w:p w:rsidR="005C638A" w:rsidRPr="009A27EC" w:rsidRDefault="005C638A" w:rsidP="00C72406">
            <w:pPr>
              <w:suppressAutoHyphens/>
              <w:jc w:val="center"/>
              <w:rPr>
                <w:b/>
              </w:rPr>
            </w:pPr>
            <w:r w:rsidRPr="009A27EC">
              <w:rPr>
                <w:b/>
              </w:rPr>
              <w:t>№</w:t>
            </w:r>
          </w:p>
        </w:tc>
        <w:tc>
          <w:tcPr>
            <w:tcW w:w="5812" w:type="dxa"/>
            <w:shd w:val="clear" w:color="auto" w:fill="auto"/>
            <w:vAlign w:val="center"/>
          </w:tcPr>
          <w:p w:rsidR="005C638A" w:rsidRPr="009A27EC" w:rsidRDefault="005C638A" w:rsidP="00C72406">
            <w:pPr>
              <w:suppressAutoHyphens/>
              <w:jc w:val="center"/>
              <w:rPr>
                <w:b/>
              </w:rPr>
            </w:pPr>
            <w:r w:rsidRPr="009A27EC">
              <w:rPr>
                <w:b/>
              </w:rPr>
              <w:t>Наименование</w:t>
            </w:r>
          </w:p>
        </w:tc>
        <w:tc>
          <w:tcPr>
            <w:tcW w:w="3260" w:type="dxa"/>
            <w:shd w:val="clear" w:color="auto" w:fill="auto"/>
            <w:vAlign w:val="center"/>
          </w:tcPr>
          <w:p w:rsidR="005C638A" w:rsidRPr="009A27EC" w:rsidRDefault="005C638A" w:rsidP="00C72406">
            <w:pPr>
              <w:suppressAutoHyphens/>
              <w:jc w:val="center"/>
              <w:rPr>
                <w:b/>
              </w:rPr>
            </w:pPr>
            <w:r w:rsidRPr="009A27EC">
              <w:rPr>
                <w:b/>
              </w:rPr>
              <w:t>Сведения об участнике процедуры закупки</w:t>
            </w:r>
          </w:p>
        </w:tc>
      </w:tr>
      <w:tr w:rsidR="005C638A" w:rsidRPr="009A27EC" w:rsidTr="00C72406">
        <w:tc>
          <w:tcPr>
            <w:tcW w:w="709" w:type="dxa"/>
            <w:shd w:val="clear" w:color="auto" w:fill="auto"/>
          </w:tcPr>
          <w:p w:rsidR="005C638A" w:rsidRPr="009A27EC" w:rsidRDefault="005C638A" w:rsidP="00C72406">
            <w:pPr>
              <w:suppressAutoHyphens/>
              <w:jc w:val="center"/>
            </w:pPr>
            <w:r w:rsidRPr="009A27EC">
              <w:t>1</w:t>
            </w:r>
          </w:p>
        </w:tc>
        <w:tc>
          <w:tcPr>
            <w:tcW w:w="5812" w:type="dxa"/>
            <w:shd w:val="clear" w:color="auto" w:fill="auto"/>
          </w:tcPr>
          <w:p w:rsidR="005C638A" w:rsidRPr="009A27EC" w:rsidRDefault="005C638A" w:rsidP="00C72406">
            <w:pPr>
              <w:suppressAutoHyphens/>
              <w:jc w:val="both"/>
            </w:pPr>
            <w:r w:rsidRPr="009A27EC">
              <w:t>Наименование (фирменное наименование) с организационно-правовой формой (полное и сокращенное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260" w:type="dxa"/>
            <w:shd w:val="clear" w:color="auto" w:fill="auto"/>
          </w:tcPr>
          <w:p w:rsidR="005C638A" w:rsidRPr="009A27EC" w:rsidRDefault="005C638A" w:rsidP="00C72406">
            <w:pPr>
              <w:suppressAutoHyphens/>
            </w:pPr>
          </w:p>
        </w:tc>
      </w:tr>
      <w:tr w:rsidR="005C638A" w:rsidRPr="009A27EC" w:rsidTr="00C72406">
        <w:tc>
          <w:tcPr>
            <w:tcW w:w="709" w:type="dxa"/>
            <w:shd w:val="clear" w:color="auto" w:fill="auto"/>
          </w:tcPr>
          <w:p w:rsidR="005C638A" w:rsidRPr="009A27EC" w:rsidRDefault="005C638A" w:rsidP="00C72406">
            <w:pPr>
              <w:suppressAutoHyphens/>
              <w:jc w:val="center"/>
            </w:pPr>
            <w:r w:rsidRPr="009A27EC">
              <w:t>2</w:t>
            </w:r>
          </w:p>
        </w:tc>
        <w:tc>
          <w:tcPr>
            <w:tcW w:w="5812" w:type="dxa"/>
            <w:shd w:val="clear" w:color="auto" w:fill="auto"/>
          </w:tcPr>
          <w:p w:rsidR="005C638A" w:rsidRPr="009A27EC" w:rsidRDefault="005C638A" w:rsidP="00C72406">
            <w:pPr>
              <w:suppressAutoHyphens/>
              <w:jc w:val="both"/>
            </w:pPr>
            <w:r w:rsidRPr="009A27EC">
              <w:t>Место регистрации (государство – для юридических лиц и индивидуальных предпринимателей) / гражданство (для физических лиц)</w:t>
            </w:r>
          </w:p>
        </w:tc>
        <w:tc>
          <w:tcPr>
            <w:tcW w:w="3260" w:type="dxa"/>
            <w:shd w:val="clear" w:color="auto" w:fill="auto"/>
          </w:tcPr>
          <w:p w:rsidR="005C638A" w:rsidRPr="009A27EC" w:rsidRDefault="005C638A" w:rsidP="00C72406">
            <w:pPr>
              <w:suppressAutoHyphens/>
            </w:pPr>
          </w:p>
        </w:tc>
      </w:tr>
      <w:tr w:rsidR="005C638A" w:rsidRPr="009A27EC" w:rsidTr="00C72406">
        <w:tc>
          <w:tcPr>
            <w:tcW w:w="709" w:type="dxa"/>
            <w:shd w:val="clear" w:color="auto" w:fill="auto"/>
          </w:tcPr>
          <w:p w:rsidR="005C638A" w:rsidRPr="009A27EC" w:rsidRDefault="005C638A" w:rsidP="00C72406">
            <w:pPr>
              <w:suppressAutoHyphens/>
              <w:jc w:val="center"/>
            </w:pPr>
            <w:r w:rsidRPr="009A27EC">
              <w:t>3</w:t>
            </w:r>
          </w:p>
        </w:tc>
        <w:tc>
          <w:tcPr>
            <w:tcW w:w="5812" w:type="dxa"/>
            <w:shd w:val="clear" w:color="auto" w:fill="auto"/>
          </w:tcPr>
          <w:p w:rsidR="005C638A" w:rsidRPr="009A27EC" w:rsidRDefault="005C638A" w:rsidP="00C72406">
            <w:pPr>
              <w:suppressAutoHyphens/>
              <w:jc w:val="both"/>
            </w:pPr>
            <w:r w:rsidRPr="009A27EC">
              <w:t>Виды деятельности</w:t>
            </w:r>
          </w:p>
        </w:tc>
        <w:tc>
          <w:tcPr>
            <w:tcW w:w="3260" w:type="dxa"/>
            <w:shd w:val="clear" w:color="auto" w:fill="auto"/>
          </w:tcPr>
          <w:p w:rsidR="005C638A" w:rsidRPr="009A27EC" w:rsidRDefault="005C638A" w:rsidP="00C72406">
            <w:pPr>
              <w:suppressAutoHyphens/>
            </w:pPr>
          </w:p>
        </w:tc>
      </w:tr>
      <w:tr w:rsidR="005C638A" w:rsidRPr="009A27EC" w:rsidTr="00C72406">
        <w:tc>
          <w:tcPr>
            <w:tcW w:w="709" w:type="dxa"/>
            <w:shd w:val="clear" w:color="auto" w:fill="auto"/>
          </w:tcPr>
          <w:p w:rsidR="005C638A" w:rsidRPr="009A27EC" w:rsidRDefault="005C638A" w:rsidP="00C72406">
            <w:pPr>
              <w:suppressAutoHyphens/>
              <w:jc w:val="center"/>
            </w:pPr>
            <w:r w:rsidRPr="009A27EC">
              <w:t>4</w:t>
            </w:r>
          </w:p>
        </w:tc>
        <w:tc>
          <w:tcPr>
            <w:tcW w:w="5812" w:type="dxa"/>
            <w:shd w:val="clear" w:color="auto" w:fill="auto"/>
          </w:tcPr>
          <w:p w:rsidR="005C638A" w:rsidRPr="009A27EC" w:rsidRDefault="005C638A" w:rsidP="00C72406">
            <w:pPr>
              <w:suppressAutoHyphens/>
              <w:jc w:val="both"/>
            </w:pPr>
            <w:r w:rsidRPr="009A27EC">
              <w:t>ИНН, КПП, ОГРН, ОКПО (или сведения, аналогичные указанным - для иностранных юридических лиц) / паспортные данные для физических лиц</w:t>
            </w:r>
          </w:p>
        </w:tc>
        <w:tc>
          <w:tcPr>
            <w:tcW w:w="3260" w:type="dxa"/>
            <w:shd w:val="clear" w:color="auto" w:fill="auto"/>
          </w:tcPr>
          <w:p w:rsidR="005C638A" w:rsidRPr="009A27EC" w:rsidRDefault="005C638A" w:rsidP="00C72406">
            <w:pPr>
              <w:suppressAutoHyphens/>
            </w:pPr>
          </w:p>
        </w:tc>
      </w:tr>
      <w:tr w:rsidR="005C638A" w:rsidRPr="009A27EC" w:rsidTr="00C72406">
        <w:tc>
          <w:tcPr>
            <w:tcW w:w="709" w:type="dxa"/>
            <w:shd w:val="clear" w:color="auto" w:fill="auto"/>
          </w:tcPr>
          <w:p w:rsidR="005C638A" w:rsidRPr="009A27EC" w:rsidRDefault="005C638A" w:rsidP="00C72406">
            <w:pPr>
              <w:suppressAutoHyphens/>
              <w:jc w:val="center"/>
            </w:pPr>
            <w:r w:rsidRPr="009A27EC">
              <w:t>5</w:t>
            </w:r>
          </w:p>
        </w:tc>
        <w:tc>
          <w:tcPr>
            <w:tcW w:w="5812" w:type="dxa"/>
            <w:shd w:val="clear" w:color="auto" w:fill="auto"/>
          </w:tcPr>
          <w:p w:rsidR="005C638A" w:rsidRPr="009A27EC" w:rsidRDefault="005C638A" w:rsidP="00C72406">
            <w:pPr>
              <w:suppressAutoHyphens/>
              <w:jc w:val="both"/>
            </w:pPr>
            <w:r w:rsidRPr="009A27EC">
              <w:t>Адрес местонахождения (страна, адрес)</w:t>
            </w:r>
          </w:p>
        </w:tc>
        <w:tc>
          <w:tcPr>
            <w:tcW w:w="3260" w:type="dxa"/>
            <w:shd w:val="clear" w:color="auto" w:fill="auto"/>
          </w:tcPr>
          <w:p w:rsidR="005C638A" w:rsidRPr="009A27EC" w:rsidRDefault="005C638A" w:rsidP="00C72406">
            <w:pPr>
              <w:suppressAutoHyphens/>
            </w:pPr>
          </w:p>
        </w:tc>
      </w:tr>
      <w:tr w:rsidR="005C638A" w:rsidRPr="009A27EC" w:rsidTr="00C72406">
        <w:tc>
          <w:tcPr>
            <w:tcW w:w="709" w:type="dxa"/>
            <w:shd w:val="clear" w:color="auto" w:fill="auto"/>
          </w:tcPr>
          <w:p w:rsidR="005C638A" w:rsidRPr="009A27EC" w:rsidRDefault="005C638A" w:rsidP="00C72406">
            <w:pPr>
              <w:suppressAutoHyphens/>
              <w:jc w:val="center"/>
            </w:pPr>
            <w:r w:rsidRPr="009A27EC">
              <w:t>6</w:t>
            </w:r>
          </w:p>
        </w:tc>
        <w:tc>
          <w:tcPr>
            <w:tcW w:w="5812" w:type="dxa"/>
            <w:shd w:val="clear" w:color="auto" w:fill="auto"/>
          </w:tcPr>
          <w:p w:rsidR="005C638A" w:rsidRPr="009A27EC" w:rsidRDefault="005C638A" w:rsidP="00C72406">
            <w:pPr>
              <w:suppressAutoHyphens/>
              <w:jc w:val="both"/>
            </w:pPr>
            <w:r w:rsidRPr="009A27EC">
              <w:t>Почтовый адрес (страна, адрес)</w:t>
            </w:r>
          </w:p>
        </w:tc>
        <w:tc>
          <w:tcPr>
            <w:tcW w:w="3260" w:type="dxa"/>
            <w:shd w:val="clear" w:color="auto" w:fill="auto"/>
          </w:tcPr>
          <w:p w:rsidR="005C638A" w:rsidRPr="009A27EC" w:rsidRDefault="005C638A" w:rsidP="00C72406">
            <w:pPr>
              <w:suppressAutoHyphens/>
            </w:pPr>
          </w:p>
        </w:tc>
      </w:tr>
      <w:tr w:rsidR="005C638A" w:rsidRPr="009A27EC" w:rsidTr="00C72406">
        <w:tc>
          <w:tcPr>
            <w:tcW w:w="709" w:type="dxa"/>
            <w:shd w:val="clear" w:color="auto" w:fill="auto"/>
          </w:tcPr>
          <w:p w:rsidR="005C638A" w:rsidRPr="009A27EC" w:rsidRDefault="005C638A" w:rsidP="00C72406">
            <w:pPr>
              <w:suppressAutoHyphens/>
              <w:jc w:val="center"/>
            </w:pPr>
            <w:r w:rsidRPr="009A27EC">
              <w:t>7</w:t>
            </w:r>
          </w:p>
        </w:tc>
        <w:tc>
          <w:tcPr>
            <w:tcW w:w="5812" w:type="dxa"/>
            <w:shd w:val="clear" w:color="auto" w:fill="auto"/>
          </w:tcPr>
          <w:p w:rsidR="005C638A" w:rsidRPr="009A27EC" w:rsidRDefault="005C638A" w:rsidP="00C72406">
            <w:pPr>
              <w:suppressAutoHyphens/>
              <w:jc w:val="both"/>
            </w:pPr>
            <w:r w:rsidRPr="009A27EC">
              <w:t>Фактическое местоположение</w:t>
            </w:r>
          </w:p>
        </w:tc>
        <w:tc>
          <w:tcPr>
            <w:tcW w:w="3260" w:type="dxa"/>
            <w:shd w:val="clear" w:color="auto" w:fill="auto"/>
          </w:tcPr>
          <w:p w:rsidR="005C638A" w:rsidRPr="009A27EC" w:rsidRDefault="005C638A" w:rsidP="00C72406">
            <w:pPr>
              <w:suppressAutoHyphens/>
            </w:pPr>
          </w:p>
        </w:tc>
      </w:tr>
      <w:tr w:rsidR="005C638A" w:rsidRPr="009A27EC" w:rsidTr="00C72406">
        <w:tc>
          <w:tcPr>
            <w:tcW w:w="709" w:type="dxa"/>
            <w:shd w:val="clear" w:color="auto" w:fill="auto"/>
          </w:tcPr>
          <w:p w:rsidR="005C638A" w:rsidRPr="009A27EC" w:rsidRDefault="005C638A" w:rsidP="00C72406">
            <w:pPr>
              <w:suppressAutoHyphens/>
              <w:jc w:val="center"/>
            </w:pPr>
            <w:r w:rsidRPr="009A27EC">
              <w:t>8</w:t>
            </w:r>
          </w:p>
        </w:tc>
        <w:tc>
          <w:tcPr>
            <w:tcW w:w="5812" w:type="dxa"/>
            <w:shd w:val="clear" w:color="auto" w:fill="auto"/>
          </w:tcPr>
          <w:p w:rsidR="005C638A" w:rsidRPr="009A27EC" w:rsidRDefault="005C638A" w:rsidP="00C72406">
            <w:pPr>
              <w:suppressAutoHyphens/>
              <w:jc w:val="both"/>
            </w:pPr>
            <w:r w:rsidRPr="009A27EC">
              <w:t>Телефоны (с указанием кода города)</w:t>
            </w:r>
          </w:p>
        </w:tc>
        <w:tc>
          <w:tcPr>
            <w:tcW w:w="3260" w:type="dxa"/>
            <w:shd w:val="clear" w:color="auto" w:fill="auto"/>
          </w:tcPr>
          <w:p w:rsidR="005C638A" w:rsidRPr="009A27EC" w:rsidRDefault="005C638A" w:rsidP="00C72406">
            <w:pPr>
              <w:suppressAutoHyphens/>
            </w:pPr>
          </w:p>
        </w:tc>
      </w:tr>
      <w:tr w:rsidR="005C638A" w:rsidRPr="009A27EC" w:rsidTr="00C72406">
        <w:tc>
          <w:tcPr>
            <w:tcW w:w="709" w:type="dxa"/>
            <w:shd w:val="clear" w:color="auto" w:fill="auto"/>
          </w:tcPr>
          <w:p w:rsidR="005C638A" w:rsidRPr="009A27EC" w:rsidRDefault="005C638A" w:rsidP="00C72406">
            <w:pPr>
              <w:suppressAutoHyphens/>
              <w:jc w:val="center"/>
            </w:pPr>
            <w:r w:rsidRPr="009A27EC">
              <w:t>9</w:t>
            </w:r>
          </w:p>
        </w:tc>
        <w:tc>
          <w:tcPr>
            <w:tcW w:w="5812" w:type="dxa"/>
            <w:shd w:val="clear" w:color="auto" w:fill="auto"/>
          </w:tcPr>
          <w:p w:rsidR="005C638A" w:rsidRPr="009A27EC" w:rsidRDefault="005C638A" w:rsidP="00C72406">
            <w:pPr>
              <w:suppressAutoHyphens/>
              <w:jc w:val="both"/>
            </w:pPr>
            <w:r w:rsidRPr="009A27EC">
              <w:t>Адрес электронной почты</w:t>
            </w:r>
          </w:p>
        </w:tc>
        <w:tc>
          <w:tcPr>
            <w:tcW w:w="3260" w:type="dxa"/>
            <w:shd w:val="clear" w:color="auto" w:fill="auto"/>
          </w:tcPr>
          <w:p w:rsidR="005C638A" w:rsidRPr="009A27EC" w:rsidRDefault="005C638A" w:rsidP="00C72406">
            <w:pPr>
              <w:suppressAutoHyphens/>
            </w:pPr>
          </w:p>
        </w:tc>
      </w:tr>
      <w:tr w:rsidR="005C638A" w:rsidRPr="009A27EC" w:rsidTr="00C72406">
        <w:tc>
          <w:tcPr>
            <w:tcW w:w="709" w:type="dxa"/>
            <w:shd w:val="clear" w:color="auto" w:fill="auto"/>
          </w:tcPr>
          <w:p w:rsidR="005C638A" w:rsidRPr="009A27EC" w:rsidRDefault="005C638A" w:rsidP="00C72406">
            <w:pPr>
              <w:suppressAutoHyphens/>
              <w:jc w:val="center"/>
            </w:pPr>
            <w:r w:rsidRPr="009A27EC">
              <w:t>10</w:t>
            </w:r>
          </w:p>
        </w:tc>
        <w:tc>
          <w:tcPr>
            <w:tcW w:w="5812" w:type="dxa"/>
            <w:shd w:val="clear" w:color="auto" w:fill="auto"/>
          </w:tcPr>
          <w:p w:rsidR="005C638A" w:rsidRPr="009A27EC" w:rsidRDefault="005C638A" w:rsidP="00C72406">
            <w:pPr>
              <w:suppressAutoHyphens/>
              <w:jc w:val="both"/>
            </w:pPr>
            <w:r w:rsidRPr="009A27EC">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260" w:type="dxa"/>
            <w:shd w:val="clear" w:color="auto" w:fill="auto"/>
          </w:tcPr>
          <w:p w:rsidR="005C638A" w:rsidRPr="009A27EC" w:rsidRDefault="005C638A" w:rsidP="00C72406">
            <w:pPr>
              <w:suppressAutoHyphens/>
            </w:pPr>
          </w:p>
        </w:tc>
      </w:tr>
      <w:tr w:rsidR="005C638A" w:rsidRPr="009A27EC" w:rsidTr="00C72406">
        <w:tc>
          <w:tcPr>
            <w:tcW w:w="709" w:type="dxa"/>
            <w:shd w:val="clear" w:color="auto" w:fill="auto"/>
          </w:tcPr>
          <w:p w:rsidR="005C638A" w:rsidRPr="009A27EC" w:rsidRDefault="005C638A" w:rsidP="00C72406">
            <w:pPr>
              <w:suppressAutoHyphens/>
              <w:jc w:val="center"/>
            </w:pPr>
            <w:r w:rsidRPr="009A27EC">
              <w:t>11</w:t>
            </w:r>
          </w:p>
        </w:tc>
        <w:tc>
          <w:tcPr>
            <w:tcW w:w="5812" w:type="dxa"/>
            <w:shd w:val="clear" w:color="auto" w:fill="auto"/>
          </w:tcPr>
          <w:p w:rsidR="005C638A" w:rsidRPr="009A27EC" w:rsidRDefault="005C638A" w:rsidP="00C72406">
            <w:pPr>
              <w:suppressAutoHyphens/>
              <w:jc w:val="both"/>
            </w:pPr>
            <w:r w:rsidRPr="009A27EC">
              <w:t>Налоговый резидент Российской Федерации</w:t>
            </w:r>
          </w:p>
        </w:tc>
        <w:tc>
          <w:tcPr>
            <w:tcW w:w="3260" w:type="dxa"/>
            <w:shd w:val="clear" w:color="auto" w:fill="auto"/>
          </w:tcPr>
          <w:p w:rsidR="005C638A" w:rsidRPr="009A27EC" w:rsidRDefault="005C638A" w:rsidP="00C72406">
            <w:pPr>
              <w:suppressAutoHyphens/>
            </w:pPr>
            <w:r w:rsidRPr="009A27EC">
              <w:rPr>
                <w:i/>
              </w:rPr>
              <w:t>да/нет</w:t>
            </w:r>
          </w:p>
        </w:tc>
      </w:tr>
      <w:tr w:rsidR="005C638A" w:rsidRPr="009A27EC" w:rsidTr="00C72406">
        <w:tc>
          <w:tcPr>
            <w:tcW w:w="709" w:type="dxa"/>
            <w:shd w:val="clear" w:color="auto" w:fill="auto"/>
          </w:tcPr>
          <w:p w:rsidR="005C638A" w:rsidRPr="009A27EC" w:rsidRDefault="005C638A" w:rsidP="00C72406">
            <w:pPr>
              <w:suppressAutoHyphens/>
              <w:jc w:val="center"/>
            </w:pPr>
            <w:r w:rsidRPr="009A27EC">
              <w:t>12</w:t>
            </w:r>
          </w:p>
        </w:tc>
        <w:tc>
          <w:tcPr>
            <w:tcW w:w="5812" w:type="dxa"/>
            <w:shd w:val="clear" w:color="auto" w:fill="auto"/>
          </w:tcPr>
          <w:p w:rsidR="005C638A" w:rsidRPr="009A27EC" w:rsidRDefault="005C638A" w:rsidP="003D4C4A">
            <w:pPr>
              <w:suppressAutoHyphens/>
              <w:jc w:val="both"/>
            </w:pPr>
            <w:r w:rsidRPr="009A27EC">
              <w:t xml:space="preserve">Ф.И.О. лица (лиц) участника процедуры закупки, ответственного(-ых) за взаимодействие с </w:t>
            </w:r>
            <w:r w:rsidR="00AF36C5">
              <w:t>ПАО НК «Роснефть</w:t>
            </w:r>
            <w:r w:rsidR="003D4C4A">
              <w:t xml:space="preserve">» </w:t>
            </w:r>
            <w:r w:rsidRPr="009A27EC">
              <w:t xml:space="preserve">в части исполнения договора по итогам </w:t>
            </w:r>
            <w:r w:rsidRPr="009A27EC">
              <w:lastRenderedPageBreak/>
              <w:t>проведения процедуры закупки, с указанием должности, контактного телефона, почтового адреса и адреса электронной почты.</w:t>
            </w:r>
          </w:p>
        </w:tc>
        <w:tc>
          <w:tcPr>
            <w:tcW w:w="3260" w:type="dxa"/>
            <w:shd w:val="clear" w:color="auto" w:fill="auto"/>
          </w:tcPr>
          <w:p w:rsidR="005C638A" w:rsidRPr="009A27EC" w:rsidRDefault="005C638A" w:rsidP="00C72406">
            <w:pPr>
              <w:suppressAutoHyphens/>
            </w:pPr>
          </w:p>
        </w:tc>
      </w:tr>
      <w:tr w:rsidR="005C638A" w:rsidRPr="009A27EC" w:rsidTr="00C72406">
        <w:tc>
          <w:tcPr>
            <w:tcW w:w="709" w:type="dxa"/>
            <w:shd w:val="clear" w:color="auto" w:fill="auto"/>
          </w:tcPr>
          <w:p w:rsidR="005C638A" w:rsidRPr="009A27EC" w:rsidRDefault="005C638A" w:rsidP="00C72406">
            <w:pPr>
              <w:suppressAutoHyphens/>
              <w:jc w:val="center"/>
            </w:pPr>
            <w:r>
              <w:t>13</w:t>
            </w:r>
          </w:p>
        </w:tc>
        <w:tc>
          <w:tcPr>
            <w:tcW w:w="5812" w:type="dxa"/>
            <w:shd w:val="clear" w:color="auto" w:fill="auto"/>
          </w:tcPr>
          <w:p w:rsidR="005C638A" w:rsidRPr="009A27EC" w:rsidRDefault="005C638A" w:rsidP="00C72406">
            <w:pPr>
              <w:suppressAutoHyphens/>
              <w:jc w:val="both"/>
            </w:pPr>
            <w:r>
              <w:rPr>
                <w:color w:val="000000" w:themeColor="text1"/>
              </w:rPr>
              <w:t>Применяемая система налогообложения</w:t>
            </w:r>
            <w:r>
              <w:rPr>
                <w:rStyle w:val="a6"/>
                <w:color w:val="000000" w:themeColor="text1"/>
              </w:rPr>
              <w:footnoteReference w:id="1"/>
            </w:r>
          </w:p>
        </w:tc>
        <w:tc>
          <w:tcPr>
            <w:tcW w:w="3260" w:type="dxa"/>
            <w:shd w:val="clear" w:color="auto" w:fill="auto"/>
          </w:tcPr>
          <w:p w:rsidR="005C638A" w:rsidRPr="009A27EC" w:rsidRDefault="005C638A" w:rsidP="00C72406">
            <w:pPr>
              <w:suppressAutoHyphens/>
            </w:pPr>
          </w:p>
        </w:tc>
      </w:tr>
    </w:tbl>
    <w:p w:rsidR="005C638A" w:rsidRDefault="005C638A" w:rsidP="005C638A">
      <w:pPr>
        <w:rPr>
          <w:i/>
          <w:sz w:val="24"/>
          <w:szCs w:val="24"/>
        </w:rPr>
      </w:pPr>
    </w:p>
    <w:p w:rsidR="005C638A" w:rsidRPr="007E7072" w:rsidRDefault="005C638A" w:rsidP="005C638A">
      <w:pPr>
        <w:keepNext/>
        <w:rPr>
          <w:i/>
          <w:sz w:val="24"/>
          <w:szCs w:val="24"/>
        </w:rPr>
      </w:pPr>
      <w:r>
        <w:rPr>
          <w:i/>
          <w:sz w:val="24"/>
          <w:szCs w:val="24"/>
        </w:rPr>
        <w:t>Техническое предложение участника процедуры закупки</w:t>
      </w:r>
      <w:r w:rsidRPr="007E7072">
        <w:rPr>
          <w:i/>
          <w:sz w:val="24"/>
          <w:szCs w:val="24"/>
        </w:rPr>
        <w:t>:</w:t>
      </w:r>
    </w:p>
    <w:p w:rsidR="005C638A" w:rsidRDefault="005C638A" w:rsidP="005C638A">
      <w:pPr>
        <w:rPr>
          <w:i/>
          <w:sz w:val="24"/>
          <w:szCs w:val="24"/>
        </w:rPr>
      </w:pPr>
    </w:p>
    <w:tbl>
      <w:tblPr>
        <w:tblStyle w:val="a3"/>
        <w:tblW w:w="0" w:type="auto"/>
        <w:tblInd w:w="108" w:type="dxa"/>
        <w:tblLook w:val="04A0" w:firstRow="1" w:lastRow="0" w:firstColumn="1" w:lastColumn="0" w:noHBand="0" w:noVBand="1"/>
      </w:tblPr>
      <w:tblGrid>
        <w:gridCol w:w="550"/>
        <w:gridCol w:w="2825"/>
        <w:gridCol w:w="3157"/>
        <w:gridCol w:w="2705"/>
      </w:tblGrid>
      <w:tr w:rsidR="005C638A" w:rsidRPr="00E0003E" w:rsidTr="00C05AE4">
        <w:trPr>
          <w:trHeight w:val="575"/>
        </w:trPr>
        <w:tc>
          <w:tcPr>
            <w:tcW w:w="550" w:type="dxa"/>
            <w:vAlign w:val="center"/>
          </w:tcPr>
          <w:p w:rsidR="005C638A" w:rsidRPr="000D3F28" w:rsidRDefault="005C638A" w:rsidP="00C72406">
            <w:pPr>
              <w:jc w:val="center"/>
              <w:rPr>
                <w:b/>
              </w:rPr>
            </w:pPr>
            <w:r w:rsidRPr="000D3F28">
              <w:rPr>
                <w:b/>
              </w:rPr>
              <w:t>№</w:t>
            </w:r>
          </w:p>
        </w:tc>
        <w:tc>
          <w:tcPr>
            <w:tcW w:w="2825" w:type="dxa"/>
            <w:vAlign w:val="center"/>
          </w:tcPr>
          <w:p w:rsidR="005C638A" w:rsidRPr="000D3F28" w:rsidRDefault="005C638A" w:rsidP="00C72406">
            <w:pPr>
              <w:jc w:val="center"/>
              <w:rPr>
                <w:b/>
              </w:rPr>
            </w:pPr>
            <w:r w:rsidRPr="000D3F28">
              <w:rPr>
                <w:b/>
              </w:rPr>
              <w:t>Наименование товара</w:t>
            </w:r>
          </w:p>
        </w:tc>
        <w:tc>
          <w:tcPr>
            <w:tcW w:w="3157" w:type="dxa"/>
            <w:vAlign w:val="center"/>
          </w:tcPr>
          <w:p w:rsidR="005C638A" w:rsidRPr="000D3F28" w:rsidRDefault="005C638A" w:rsidP="00C72406">
            <w:pPr>
              <w:jc w:val="center"/>
              <w:rPr>
                <w:b/>
              </w:rPr>
            </w:pPr>
            <w:r>
              <w:rPr>
                <w:b/>
              </w:rPr>
              <w:t>Описание</w:t>
            </w:r>
            <w:r w:rsidRPr="000D3F28">
              <w:rPr>
                <w:b/>
              </w:rPr>
              <w:t xml:space="preserve"> товара</w:t>
            </w:r>
          </w:p>
        </w:tc>
        <w:tc>
          <w:tcPr>
            <w:tcW w:w="2705" w:type="dxa"/>
            <w:vAlign w:val="center"/>
          </w:tcPr>
          <w:p w:rsidR="005C638A" w:rsidRPr="000F7C5B" w:rsidRDefault="005C638A" w:rsidP="00C72406">
            <w:pPr>
              <w:jc w:val="center"/>
              <w:rPr>
                <w:b/>
              </w:rPr>
            </w:pPr>
            <w:r>
              <w:rPr>
                <w:b/>
              </w:rPr>
              <w:t>Страна происхождения товара</w:t>
            </w:r>
          </w:p>
        </w:tc>
      </w:tr>
      <w:tr w:rsidR="005C638A" w:rsidRPr="00E0003E" w:rsidTr="00C05AE4">
        <w:trPr>
          <w:trHeight w:val="413"/>
        </w:trPr>
        <w:tc>
          <w:tcPr>
            <w:tcW w:w="550" w:type="dxa"/>
          </w:tcPr>
          <w:p w:rsidR="005C638A" w:rsidRPr="00F04832" w:rsidRDefault="005C638A" w:rsidP="00C72406">
            <w:pPr>
              <w:jc w:val="center"/>
            </w:pPr>
            <w:r w:rsidRPr="00BF7B82">
              <w:t>1.</w:t>
            </w:r>
          </w:p>
        </w:tc>
        <w:tc>
          <w:tcPr>
            <w:tcW w:w="2825" w:type="dxa"/>
          </w:tcPr>
          <w:p w:rsidR="005C638A" w:rsidRPr="00A410A0" w:rsidRDefault="005C638A" w:rsidP="00C72406">
            <w:pPr>
              <w:jc w:val="center"/>
            </w:pPr>
          </w:p>
        </w:tc>
        <w:tc>
          <w:tcPr>
            <w:tcW w:w="3157" w:type="dxa"/>
            <w:vAlign w:val="center"/>
          </w:tcPr>
          <w:p w:rsidR="005C638A" w:rsidRPr="00A410A0" w:rsidRDefault="005C638A" w:rsidP="00C72406">
            <w:pPr>
              <w:jc w:val="center"/>
            </w:pPr>
          </w:p>
        </w:tc>
        <w:tc>
          <w:tcPr>
            <w:tcW w:w="2705" w:type="dxa"/>
            <w:vAlign w:val="center"/>
          </w:tcPr>
          <w:p w:rsidR="005C638A" w:rsidRPr="00F04832" w:rsidRDefault="005C638A" w:rsidP="00C72406">
            <w:pPr>
              <w:jc w:val="center"/>
            </w:pPr>
          </w:p>
        </w:tc>
      </w:tr>
      <w:tr w:rsidR="005C638A" w:rsidRPr="00E0003E" w:rsidTr="00C05AE4">
        <w:trPr>
          <w:trHeight w:val="413"/>
        </w:trPr>
        <w:tc>
          <w:tcPr>
            <w:tcW w:w="550" w:type="dxa"/>
          </w:tcPr>
          <w:p w:rsidR="005C638A" w:rsidRPr="00F04832" w:rsidRDefault="005C638A" w:rsidP="00C72406">
            <w:pPr>
              <w:jc w:val="center"/>
            </w:pPr>
            <w:r w:rsidRPr="00BF7B82">
              <w:t>2.</w:t>
            </w:r>
          </w:p>
        </w:tc>
        <w:tc>
          <w:tcPr>
            <w:tcW w:w="2825" w:type="dxa"/>
          </w:tcPr>
          <w:p w:rsidR="005C638A" w:rsidRDefault="005C638A" w:rsidP="00C72406">
            <w:pPr>
              <w:jc w:val="center"/>
            </w:pPr>
          </w:p>
        </w:tc>
        <w:tc>
          <w:tcPr>
            <w:tcW w:w="3157" w:type="dxa"/>
            <w:vAlign w:val="center"/>
          </w:tcPr>
          <w:p w:rsidR="005C638A" w:rsidRPr="00A410A0" w:rsidRDefault="005C638A" w:rsidP="00C72406">
            <w:pPr>
              <w:jc w:val="center"/>
            </w:pPr>
          </w:p>
        </w:tc>
        <w:tc>
          <w:tcPr>
            <w:tcW w:w="2705" w:type="dxa"/>
            <w:vAlign w:val="center"/>
          </w:tcPr>
          <w:p w:rsidR="005C638A" w:rsidRPr="00F04832" w:rsidRDefault="005C638A" w:rsidP="00C72406">
            <w:pPr>
              <w:jc w:val="center"/>
            </w:pPr>
          </w:p>
        </w:tc>
      </w:tr>
      <w:tr w:rsidR="005C638A" w:rsidRPr="00E0003E" w:rsidTr="00C05AE4">
        <w:trPr>
          <w:trHeight w:val="413"/>
        </w:trPr>
        <w:tc>
          <w:tcPr>
            <w:tcW w:w="550" w:type="dxa"/>
          </w:tcPr>
          <w:p w:rsidR="005C638A" w:rsidRPr="00F04832" w:rsidRDefault="005C638A" w:rsidP="00C72406">
            <w:pPr>
              <w:jc w:val="center"/>
            </w:pPr>
            <w:r w:rsidRPr="00BF7B82">
              <w:t>3.</w:t>
            </w:r>
          </w:p>
        </w:tc>
        <w:tc>
          <w:tcPr>
            <w:tcW w:w="2825" w:type="dxa"/>
          </w:tcPr>
          <w:p w:rsidR="005C638A" w:rsidRDefault="005C638A" w:rsidP="00C72406">
            <w:pPr>
              <w:jc w:val="center"/>
            </w:pPr>
          </w:p>
        </w:tc>
        <w:tc>
          <w:tcPr>
            <w:tcW w:w="3157" w:type="dxa"/>
            <w:vAlign w:val="center"/>
          </w:tcPr>
          <w:p w:rsidR="005C638A" w:rsidRPr="00A410A0" w:rsidRDefault="005C638A" w:rsidP="00C72406">
            <w:pPr>
              <w:jc w:val="center"/>
            </w:pPr>
          </w:p>
        </w:tc>
        <w:tc>
          <w:tcPr>
            <w:tcW w:w="2705" w:type="dxa"/>
            <w:vAlign w:val="center"/>
          </w:tcPr>
          <w:p w:rsidR="005C638A" w:rsidRPr="00F04832" w:rsidRDefault="005C638A" w:rsidP="00C72406">
            <w:pPr>
              <w:jc w:val="center"/>
            </w:pPr>
          </w:p>
        </w:tc>
      </w:tr>
      <w:tr w:rsidR="005C638A" w:rsidRPr="00E0003E" w:rsidTr="00C05AE4">
        <w:trPr>
          <w:trHeight w:val="413"/>
        </w:trPr>
        <w:tc>
          <w:tcPr>
            <w:tcW w:w="550" w:type="dxa"/>
          </w:tcPr>
          <w:p w:rsidR="005C638A" w:rsidRPr="00F04832" w:rsidRDefault="005C638A" w:rsidP="00C72406">
            <w:pPr>
              <w:jc w:val="center"/>
            </w:pPr>
            <w:r w:rsidRPr="00BF7B82">
              <w:t>4</w:t>
            </w:r>
          </w:p>
        </w:tc>
        <w:tc>
          <w:tcPr>
            <w:tcW w:w="2825" w:type="dxa"/>
          </w:tcPr>
          <w:p w:rsidR="005C638A" w:rsidRDefault="005C638A" w:rsidP="00C72406">
            <w:pPr>
              <w:jc w:val="center"/>
            </w:pPr>
          </w:p>
        </w:tc>
        <w:tc>
          <w:tcPr>
            <w:tcW w:w="3157" w:type="dxa"/>
            <w:vAlign w:val="center"/>
          </w:tcPr>
          <w:p w:rsidR="005C638A" w:rsidRPr="00A410A0" w:rsidRDefault="005C638A" w:rsidP="00C72406">
            <w:pPr>
              <w:jc w:val="center"/>
            </w:pPr>
          </w:p>
        </w:tc>
        <w:tc>
          <w:tcPr>
            <w:tcW w:w="2705" w:type="dxa"/>
            <w:vAlign w:val="center"/>
          </w:tcPr>
          <w:p w:rsidR="005C638A" w:rsidRPr="00F04832" w:rsidRDefault="005C638A" w:rsidP="00C72406">
            <w:pPr>
              <w:jc w:val="center"/>
            </w:pPr>
          </w:p>
        </w:tc>
      </w:tr>
      <w:tr w:rsidR="005C638A" w:rsidRPr="00E0003E" w:rsidTr="00C05AE4">
        <w:trPr>
          <w:trHeight w:val="413"/>
        </w:trPr>
        <w:tc>
          <w:tcPr>
            <w:tcW w:w="550" w:type="dxa"/>
          </w:tcPr>
          <w:p w:rsidR="005C638A" w:rsidRPr="00F04832" w:rsidRDefault="005C638A" w:rsidP="00C72406">
            <w:pPr>
              <w:jc w:val="center"/>
            </w:pPr>
            <w:r w:rsidRPr="00BF7B82">
              <w:t>5</w:t>
            </w:r>
          </w:p>
        </w:tc>
        <w:tc>
          <w:tcPr>
            <w:tcW w:w="2825" w:type="dxa"/>
          </w:tcPr>
          <w:p w:rsidR="005C638A" w:rsidRDefault="005C638A" w:rsidP="00C72406">
            <w:pPr>
              <w:jc w:val="center"/>
            </w:pPr>
          </w:p>
        </w:tc>
        <w:tc>
          <w:tcPr>
            <w:tcW w:w="3157" w:type="dxa"/>
            <w:vAlign w:val="center"/>
          </w:tcPr>
          <w:p w:rsidR="005C638A" w:rsidRPr="00A410A0" w:rsidRDefault="005C638A" w:rsidP="00C72406">
            <w:pPr>
              <w:jc w:val="center"/>
            </w:pPr>
          </w:p>
        </w:tc>
        <w:tc>
          <w:tcPr>
            <w:tcW w:w="2705" w:type="dxa"/>
            <w:vAlign w:val="center"/>
          </w:tcPr>
          <w:p w:rsidR="005C638A" w:rsidRPr="00F04832" w:rsidRDefault="005C638A" w:rsidP="00C72406">
            <w:pPr>
              <w:jc w:val="center"/>
            </w:pPr>
          </w:p>
        </w:tc>
      </w:tr>
      <w:tr w:rsidR="00C05AE4" w:rsidRPr="00E0003E" w:rsidTr="00316A31">
        <w:trPr>
          <w:trHeight w:val="413"/>
        </w:trPr>
        <w:tc>
          <w:tcPr>
            <w:tcW w:w="9237" w:type="dxa"/>
            <w:gridSpan w:val="4"/>
          </w:tcPr>
          <w:p w:rsidR="00C05AE4" w:rsidRPr="00F04832" w:rsidRDefault="00C05AE4" w:rsidP="00C72406">
            <w:pPr>
              <w:jc w:val="center"/>
            </w:pPr>
            <w:r>
              <w:t>Цена коммерческого предложения составляет:</w:t>
            </w:r>
          </w:p>
        </w:tc>
      </w:tr>
    </w:tbl>
    <w:p w:rsidR="005C638A" w:rsidRPr="009A27EC" w:rsidRDefault="005C638A" w:rsidP="005C638A">
      <w:pPr>
        <w:rPr>
          <w:i/>
          <w:sz w:val="24"/>
          <w:szCs w:val="24"/>
        </w:rPr>
      </w:pPr>
    </w:p>
    <w:p w:rsidR="005C638A" w:rsidRPr="009A27EC" w:rsidRDefault="005C638A" w:rsidP="005C638A">
      <w:pPr>
        <w:jc w:val="both"/>
        <w:rPr>
          <w:i/>
        </w:rPr>
      </w:pPr>
      <w:r w:rsidRPr="009A27EC">
        <w:t xml:space="preserve">Настоящим подтверждаем (заверяем), что _______________________________________ </w:t>
      </w:r>
      <w:r w:rsidRPr="009A27EC">
        <w:rPr>
          <w:i/>
        </w:rPr>
        <w:t>(наименование участника закупки):</w:t>
      </w:r>
    </w:p>
    <w:p w:rsidR="005C638A" w:rsidRPr="009A27EC" w:rsidRDefault="005C638A" w:rsidP="005C638A">
      <w:pPr>
        <w:pStyle w:val="a9"/>
        <w:numPr>
          <w:ilvl w:val="0"/>
          <w:numId w:val="2"/>
        </w:numPr>
        <w:tabs>
          <w:tab w:val="left" w:pos="-2700"/>
          <w:tab w:val="left" w:pos="284"/>
        </w:tabs>
        <w:spacing w:before="120" w:after="0"/>
        <w:ind w:left="284" w:hanging="284"/>
        <w:jc w:val="both"/>
      </w:pPr>
      <w:r w:rsidRPr="009A27EC">
        <w:t>обладает правоспособностью на участие в конкурентном анализе</w:t>
      </w:r>
      <w:r w:rsidRPr="009A27EC">
        <w:rPr>
          <w:i/>
          <w:sz w:val="24"/>
          <w:szCs w:val="24"/>
        </w:rPr>
        <w:t xml:space="preserve"> </w:t>
      </w:r>
      <w:r w:rsidRPr="009A27EC">
        <w:t>и заключение договора по его итогам в соответствии с законодательством Российской Федерации, в частности, получены/направлены все необходимые уведомления, разрешения, согласования, одобрения, если таковые требуются в соответствии с законодательными и иными нормативными правовыми актами Российской Федерации, учредительным документом или внутренними документами;</w:t>
      </w:r>
    </w:p>
    <w:p w:rsidR="005C638A" w:rsidRPr="009A27EC" w:rsidRDefault="005C638A" w:rsidP="005C638A">
      <w:pPr>
        <w:pStyle w:val="a9"/>
        <w:numPr>
          <w:ilvl w:val="0"/>
          <w:numId w:val="2"/>
        </w:numPr>
        <w:tabs>
          <w:tab w:val="left" w:pos="-2700"/>
          <w:tab w:val="left" w:pos="284"/>
        </w:tabs>
        <w:spacing w:before="120" w:after="0"/>
        <w:ind w:left="284" w:hanging="284"/>
        <w:jc w:val="both"/>
      </w:pPr>
      <w:r w:rsidRPr="009A27EC">
        <w:t xml:space="preserve">обладает необходимыми в соответствии с законодательством Российской Федерации разрешениями (лицензиями, допусками, свидетельствами, аттестатами, правами и </w:t>
      </w:r>
      <w:proofErr w:type="spellStart"/>
      <w:r w:rsidRPr="009A27EC">
        <w:t>т.п</w:t>
      </w:r>
      <w:proofErr w:type="spellEnd"/>
      <w:r w:rsidR="00770D72">
        <w:t xml:space="preserve"> </w:t>
      </w:r>
      <w:r w:rsidRPr="009A27EC">
        <w:t>.) для поставки товаров, выполнения работ или оказания услуг, являющихся предметом заключаемого договора;</w:t>
      </w:r>
    </w:p>
    <w:p w:rsidR="005C638A" w:rsidRPr="009A27EC" w:rsidRDefault="005C638A" w:rsidP="005C638A">
      <w:pPr>
        <w:pStyle w:val="a9"/>
        <w:numPr>
          <w:ilvl w:val="0"/>
          <w:numId w:val="2"/>
        </w:numPr>
        <w:tabs>
          <w:tab w:val="left" w:pos="-2700"/>
          <w:tab w:val="left" w:pos="284"/>
        </w:tabs>
        <w:spacing w:before="120" w:after="0"/>
        <w:ind w:left="284" w:hanging="284"/>
        <w:jc w:val="both"/>
      </w:pPr>
      <w:r w:rsidRPr="009A27EC">
        <w:t>обладает необходимыми сертификатами на товары в соответствии с законодательством Российской Федерации, поставка которых является предметом заключаемого договора</w:t>
      </w:r>
      <w:r w:rsidR="0064013A">
        <w:t xml:space="preserve"> </w:t>
      </w:r>
      <w:r>
        <w:t xml:space="preserve">(если предмет закупки подразумевает специальное </w:t>
      </w:r>
      <w:proofErr w:type="spellStart"/>
      <w:r>
        <w:t>сертифицирование</w:t>
      </w:r>
      <w:proofErr w:type="spellEnd"/>
      <w:r>
        <w:t xml:space="preserve">) </w:t>
      </w:r>
      <w:r w:rsidRPr="009A27EC">
        <w:t>;</w:t>
      </w:r>
    </w:p>
    <w:p w:rsidR="005C638A" w:rsidRPr="009A27EC" w:rsidRDefault="005C638A" w:rsidP="005C638A">
      <w:pPr>
        <w:pStyle w:val="a9"/>
        <w:numPr>
          <w:ilvl w:val="0"/>
          <w:numId w:val="2"/>
        </w:numPr>
        <w:tabs>
          <w:tab w:val="left" w:pos="-2700"/>
          <w:tab w:val="left" w:pos="284"/>
        </w:tabs>
        <w:autoSpaceDE w:val="0"/>
        <w:autoSpaceDN w:val="0"/>
        <w:adjustRightInd w:val="0"/>
        <w:spacing w:before="120" w:after="0"/>
        <w:ind w:left="284" w:hanging="284"/>
        <w:jc w:val="both"/>
        <w:rPr>
          <w:b/>
          <w:bCs/>
        </w:rPr>
      </w:pPr>
      <w:r w:rsidRPr="009A27EC">
        <w:t xml:space="preserve">не находиться в процессе ликвидации (для юридического лица), не признанно по решению арбитражного суда несостоятельным (банкротом), не являться лицом, в отношении которого </w:t>
      </w:r>
      <w:r w:rsidRPr="009A27EC">
        <w:rPr>
          <w:bCs/>
        </w:rPr>
        <w:t>открыто конкурсное производство;</w:t>
      </w:r>
    </w:p>
    <w:p w:rsidR="005C638A" w:rsidRPr="009A27EC" w:rsidRDefault="005C638A" w:rsidP="005C638A">
      <w:pPr>
        <w:numPr>
          <w:ilvl w:val="0"/>
          <w:numId w:val="2"/>
        </w:numPr>
        <w:spacing w:before="120"/>
        <w:ind w:left="284" w:hanging="284"/>
        <w:jc w:val="both"/>
      </w:pPr>
      <w:r w:rsidRPr="009A27EC">
        <w:t>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5C638A" w:rsidRPr="009A27EC" w:rsidRDefault="005C638A" w:rsidP="005C638A">
      <w:pPr>
        <w:numPr>
          <w:ilvl w:val="0"/>
          <w:numId w:val="2"/>
        </w:numPr>
        <w:spacing w:before="120"/>
        <w:ind w:left="284" w:hanging="284"/>
        <w:jc w:val="both"/>
        <w:rPr>
          <w:lang w:val="sr-Cyrl-CS"/>
        </w:rPr>
      </w:pPr>
      <w:r w:rsidRPr="009A27EC">
        <w:t>не числится в реестрах недобросовестных поставщиков, которые ведутся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(далее - Постановление Правительства РФ от 22.11.2012 № 1211), а также постановлением Правительства Российской Федерации от 25.11.2013 № 1062 «О порядке ведения реестра недобросовестных поставщиков (подрядчиков, исполнителей)» (далее - Постановление Правительства РФ от 25.11.2013 № 1062);</w:t>
      </w:r>
    </w:p>
    <w:p w:rsidR="005C638A" w:rsidRPr="009A27EC" w:rsidRDefault="005C638A" w:rsidP="005C638A">
      <w:pPr>
        <w:pStyle w:val="a9"/>
        <w:numPr>
          <w:ilvl w:val="0"/>
          <w:numId w:val="2"/>
        </w:numPr>
        <w:tabs>
          <w:tab w:val="left" w:pos="284"/>
        </w:tabs>
        <w:spacing w:before="120" w:after="0"/>
        <w:ind w:left="284" w:hanging="284"/>
        <w:jc w:val="both"/>
      </w:pPr>
      <w:r w:rsidRPr="009A27EC">
        <w:t>соответствует требованиям, установленным законодательством Российской Федерации;</w:t>
      </w:r>
    </w:p>
    <w:p w:rsidR="0069453A" w:rsidRDefault="005C638A" w:rsidP="005C638A">
      <w:pPr>
        <w:pStyle w:val="a9"/>
        <w:numPr>
          <w:ilvl w:val="0"/>
          <w:numId w:val="2"/>
        </w:numPr>
        <w:tabs>
          <w:tab w:val="left" w:pos="284"/>
        </w:tabs>
        <w:spacing w:before="120" w:after="0"/>
        <w:ind w:left="284" w:hanging="284"/>
        <w:jc w:val="both"/>
      </w:pPr>
      <w:r w:rsidRPr="009A27EC">
        <w:t>соответствует иным требованиям, установленным в Извещении о проведении конкурентного анализа.</w:t>
      </w:r>
    </w:p>
    <w:sectPr w:rsidR="006945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40" w:rsidRDefault="00877940" w:rsidP="005C638A">
      <w:r>
        <w:separator/>
      </w:r>
    </w:p>
  </w:endnote>
  <w:endnote w:type="continuationSeparator" w:id="0">
    <w:p w:rsidR="00877940" w:rsidRDefault="00877940" w:rsidP="005C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40" w:rsidRDefault="00877940" w:rsidP="005C638A">
      <w:r>
        <w:separator/>
      </w:r>
    </w:p>
  </w:footnote>
  <w:footnote w:type="continuationSeparator" w:id="0">
    <w:p w:rsidR="00877940" w:rsidRDefault="00877940" w:rsidP="005C638A">
      <w:r>
        <w:continuationSeparator/>
      </w:r>
    </w:p>
  </w:footnote>
  <w:footnote w:id="1">
    <w:p w:rsidR="005C638A" w:rsidRPr="009E0461" w:rsidRDefault="005C638A" w:rsidP="005C638A">
      <w:pPr>
        <w:pStyle w:val="a4"/>
        <w:jc w:val="both"/>
        <w:rPr>
          <w:rFonts w:ascii="Times New Roman" w:hAnsi="Times New Roman"/>
        </w:rPr>
      </w:pPr>
      <w:r w:rsidRPr="009E0461">
        <w:rPr>
          <w:rStyle w:val="a6"/>
          <w:rFonts w:ascii="Times New Roman" w:hAnsi="Times New Roman"/>
          <w:sz w:val="18"/>
          <w:szCs w:val="18"/>
        </w:rPr>
        <w:footnoteRef/>
      </w:r>
      <w:r w:rsidRPr="009E0461">
        <w:rPr>
          <w:rFonts w:ascii="Times New Roman" w:hAnsi="Times New Roman"/>
          <w:sz w:val="18"/>
          <w:szCs w:val="18"/>
        </w:rPr>
        <w:t xml:space="preserve"> В случае, если участник процедуры закупки освобожден от уплаты НДС, необходимо представить соответствующие подтверждающие документы</w:t>
      </w:r>
      <w:r w:rsidRPr="009E0461">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E38"/>
    <w:multiLevelType w:val="hybridMultilevel"/>
    <w:tmpl w:val="F05453E0"/>
    <w:lvl w:ilvl="0" w:tplc="C6146A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8CD5579"/>
    <w:multiLevelType w:val="hybridMultilevel"/>
    <w:tmpl w:val="330CD01A"/>
    <w:lvl w:ilvl="0" w:tplc="EE6890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8A"/>
    <w:rsid w:val="00152CCD"/>
    <w:rsid w:val="001F71B3"/>
    <w:rsid w:val="002309AF"/>
    <w:rsid w:val="0032685D"/>
    <w:rsid w:val="00365B5E"/>
    <w:rsid w:val="003D4C4A"/>
    <w:rsid w:val="0046098E"/>
    <w:rsid w:val="005C638A"/>
    <w:rsid w:val="00637749"/>
    <w:rsid w:val="0064013A"/>
    <w:rsid w:val="006D31D0"/>
    <w:rsid w:val="00770D72"/>
    <w:rsid w:val="00780771"/>
    <w:rsid w:val="00877940"/>
    <w:rsid w:val="00AA70B1"/>
    <w:rsid w:val="00AC22CC"/>
    <w:rsid w:val="00AF36C5"/>
    <w:rsid w:val="00B96F06"/>
    <w:rsid w:val="00C05AE4"/>
    <w:rsid w:val="00CA7D76"/>
    <w:rsid w:val="00D60E55"/>
    <w:rsid w:val="00D75D69"/>
    <w:rsid w:val="00DC07F8"/>
    <w:rsid w:val="00E1003F"/>
    <w:rsid w:val="00F8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D169"/>
  <w15:chartTrackingRefBased/>
  <w15:docId w15:val="{7D4BC63B-540F-466F-A258-36B34AE1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38A"/>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Знак,H1,Н1,1,app heading 1,ITT t1,II+,I,H11,H12,H13,H14,H15,H16,H17,H18,H111,H121,H131,H141,H151,H161,H171,H19,H112,H122,H132,H142,H152,H162,H172,H181,H1111,H1211,H1311,H1411,H1511,H1611,H1711,H110,H113,H123,H133,H143,H153,H163,H173,L1"/>
    <w:basedOn w:val="a"/>
    <w:next w:val="a"/>
    <w:link w:val="10"/>
    <w:qFormat/>
    <w:rsid w:val="005C638A"/>
    <w:pPr>
      <w:keepNext/>
      <w:tabs>
        <w:tab w:val="left" w:pos="0"/>
      </w:tabs>
      <w:suppressAutoHyphens/>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Знак Знак,H1 Знак,Н1 Знак,1 Знак,app heading 1 Знак,ITT t1 Знак,II+ Знак,I Знак,H11 Знак,H12 Знак,H13 Знак,H14 Знак,H15 Знак,H16 Знак,H17 Знак,H18 Знак,H111 Знак,H121 Знак,H131 Знак,H141 Знак,H151 Знак,H161 Знак,H171 Знак"/>
    <w:basedOn w:val="a0"/>
    <w:link w:val="1"/>
    <w:rsid w:val="005C638A"/>
    <w:rPr>
      <w:rFonts w:ascii="Times New Roman" w:eastAsia="Times New Roman" w:hAnsi="Times New Roman" w:cs="Times New Roman"/>
      <w:b/>
      <w:sz w:val="20"/>
      <w:szCs w:val="20"/>
      <w:lang w:eastAsia="ru-RU"/>
    </w:rPr>
  </w:style>
  <w:style w:type="table" w:styleId="a3">
    <w:name w:val="Table Grid"/>
    <w:basedOn w:val="a1"/>
    <w:rsid w:val="005C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1"/>
    <w:uiPriority w:val="99"/>
    <w:qFormat/>
    <w:rsid w:val="005C638A"/>
    <w:rPr>
      <w:rFonts w:ascii="Calibri" w:eastAsia="Calibri" w:hAnsi="Calibri"/>
    </w:rPr>
  </w:style>
  <w:style w:type="character" w:customStyle="1" w:styleId="a5">
    <w:name w:val="Текст сноски Знак"/>
    <w:basedOn w:val="a0"/>
    <w:uiPriority w:val="99"/>
    <w:semiHidden/>
    <w:rsid w:val="005C638A"/>
    <w:rPr>
      <w:rFonts w:ascii="Times New Roman" w:eastAsia="Times New Roman" w:hAnsi="Times New Roman" w:cs="Times New Roman"/>
      <w:sz w:val="20"/>
      <w:szCs w:val="20"/>
      <w:lang w:eastAsia="ru-RU"/>
    </w:rPr>
  </w:style>
  <w:style w:type="character" w:styleId="a6">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5C638A"/>
    <w:rPr>
      <w:vertAlign w:val="superscript"/>
    </w:rPr>
  </w:style>
  <w:style w:type="character" w:customStyle="1" w:styleId="1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4"/>
    <w:uiPriority w:val="99"/>
    <w:qFormat/>
    <w:rsid w:val="005C638A"/>
    <w:rPr>
      <w:rFonts w:ascii="Calibri" w:eastAsia="Calibri" w:hAnsi="Calibri" w:cs="Times New Roman"/>
      <w:sz w:val="20"/>
      <w:szCs w:val="20"/>
      <w:lang w:eastAsia="ru-RU"/>
    </w:rPr>
  </w:style>
  <w:style w:type="paragraph" w:styleId="a7">
    <w:name w:val="List Paragraph"/>
    <w:aliases w:val="Table-Normal,RSHB_Table-Normal,List Paragraph,Абзац маркированнный,Предусловия,SL_Абзац списка,Содержание. 2 уровень,Цветной список - Акцент 12,UL"/>
    <w:basedOn w:val="a"/>
    <w:link w:val="a8"/>
    <w:uiPriority w:val="34"/>
    <w:qFormat/>
    <w:rsid w:val="005C638A"/>
    <w:pPr>
      <w:ind w:left="708"/>
    </w:pPr>
  </w:style>
  <w:style w:type="character" w:customStyle="1" w:styleId="a8">
    <w:name w:val="Абзац списка Знак"/>
    <w:aliases w:val="Table-Normal Знак,RSHB_Table-Normal Знак,List Paragraph Знак,Абзац маркированнный Знак,Предусловия Знак,SL_Абзац списка Знак,Содержание. 2 уровень Знак,Цветной список - Акцент 12 Знак,UL Знак"/>
    <w:link w:val="a7"/>
    <w:uiPriority w:val="34"/>
    <w:locked/>
    <w:rsid w:val="005C638A"/>
    <w:rPr>
      <w:rFonts w:ascii="Times New Roman" w:eastAsia="Times New Roman" w:hAnsi="Times New Roman" w:cs="Times New Roman"/>
      <w:sz w:val="20"/>
      <w:szCs w:val="20"/>
      <w:lang w:eastAsia="ru-RU"/>
    </w:rPr>
  </w:style>
  <w:style w:type="paragraph" w:styleId="a9">
    <w:name w:val="Body Text Indent"/>
    <w:aliases w:val="текст,Body Text Indent"/>
    <w:basedOn w:val="a"/>
    <w:link w:val="aa"/>
    <w:unhideWhenUsed/>
    <w:rsid w:val="005C638A"/>
    <w:pPr>
      <w:spacing w:after="120"/>
      <w:ind w:left="283"/>
    </w:pPr>
  </w:style>
  <w:style w:type="character" w:customStyle="1" w:styleId="aa">
    <w:name w:val="Основной текст с отступом Знак"/>
    <w:aliases w:val="текст Знак,Body Text Indent Знак"/>
    <w:basedOn w:val="a0"/>
    <w:link w:val="a9"/>
    <w:rsid w:val="005C638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5072</Characters>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2021-08-13T07:07:00Z</dcterms:created>
  <dcterms:modified xsi:type="dcterms:W3CDTF">2021-09-07T07:25:00Z</dcterms:modified>
</cp:coreProperties>
</file>