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6E" w:rsidRDefault="00CE666E" w:rsidP="001179B3">
      <w:bookmarkStart w:id="0" w:name="_GoBack"/>
      <w:bookmarkEnd w:id="0"/>
    </w:p>
    <w:p w:rsidR="00E44C95" w:rsidRPr="00396D9E" w:rsidRDefault="006935F8" w:rsidP="00396D9E">
      <w:r>
        <w:rPr>
          <w:noProof/>
        </w:rPr>
        <mc:AlternateContent>
          <mc:Choice Requires="wps">
            <w:drawing>
              <wp:anchor distT="0" distB="0" distL="114300" distR="114300" simplePos="0" relativeHeight="251657728" behindDoc="0" locked="0" layoutInCell="1" allowOverlap="1">
                <wp:simplePos x="0" y="0"/>
                <wp:positionH relativeFrom="column">
                  <wp:posOffset>1990725</wp:posOffset>
                </wp:positionH>
                <wp:positionV relativeFrom="paragraph">
                  <wp:posOffset>53340</wp:posOffset>
                </wp:positionV>
                <wp:extent cx="4181475" cy="97726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977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BD9" w:rsidRDefault="004E2BD9" w:rsidP="004E2BD9">
                            <w:pPr>
                              <w:rPr>
                                <w:szCs w:val="28"/>
                              </w:rPr>
                            </w:pPr>
                          </w:p>
                          <w:p w:rsidR="004E2BD9" w:rsidRPr="004E2BD9" w:rsidRDefault="004E2BD9" w:rsidP="004E2BD9">
                            <w:pPr>
                              <w:rPr>
                                <w:b/>
                                <w:bCs/>
                              </w:rPr>
                            </w:pPr>
                            <w:r w:rsidRPr="004E2BD9">
                              <w:rPr>
                                <w:b/>
                                <w:bCs/>
                              </w:rPr>
                              <w:t>ООО «Центр «Технологии управления бизнесом»</w:t>
                            </w:r>
                          </w:p>
                          <w:p w:rsidR="004E2BD9" w:rsidRPr="004E2BD9" w:rsidRDefault="004E2BD9" w:rsidP="004E2BD9">
                            <w:pPr>
                              <w:rPr>
                                <w:b/>
                                <w:bCs/>
                              </w:rPr>
                            </w:pPr>
                            <w:smartTag w:uri="urn:schemas-microsoft-com:office:smarttags" w:element="metricconverter">
                              <w:smartTagPr>
                                <w:attr w:name="ProductID" w:val="443087 г"/>
                              </w:smartTagPr>
                              <w:r w:rsidRPr="004E2BD9">
                                <w:rPr>
                                  <w:b/>
                                  <w:bCs/>
                                </w:rPr>
                                <w:t>443087 г</w:t>
                              </w:r>
                            </w:smartTag>
                            <w:r w:rsidRPr="004E2BD9">
                              <w:rPr>
                                <w:b/>
                                <w:bCs/>
                              </w:rPr>
                              <w:t>. Самара, ул. Стара Загора, 139, оф 92</w:t>
                            </w:r>
                          </w:p>
                          <w:p w:rsidR="004E2BD9" w:rsidRPr="004E2BD9" w:rsidRDefault="004E2BD9" w:rsidP="004E2BD9">
                            <w:pPr>
                              <w:rPr>
                                <w:b/>
                                <w:bCs/>
                                <w:lang w:val="en-US"/>
                              </w:rPr>
                            </w:pPr>
                            <w:r w:rsidRPr="004E2BD9">
                              <w:rPr>
                                <w:b/>
                                <w:bCs/>
                              </w:rPr>
                              <w:t>т</w:t>
                            </w:r>
                            <w:r w:rsidRPr="004E2BD9">
                              <w:rPr>
                                <w:b/>
                                <w:bCs/>
                                <w:lang w:val="en-US"/>
                              </w:rPr>
                              <w:t xml:space="preserve"> 8 (846) 372-00-30,  972-06-40 </w:t>
                            </w:r>
                            <w:r w:rsidRPr="004E2BD9">
                              <w:rPr>
                                <w:b/>
                                <w:bCs/>
                              </w:rPr>
                              <w:t>т</w:t>
                            </w:r>
                            <w:r w:rsidRPr="004E2BD9">
                              <w:rPr>
                                <w:b/>
                                <w:bCs/>
                                <w:lang w:val="en-US"/>
                              </w:rPr>
                              <w:t>/</w:t>
                            </w:r>
                            <w:r w:rsidRPr="004E2BD9">
                              <w:rPr>
                                <w:b/>
                                <w:bCs/>
                              </w:rPr>
                              <w:t>ф</w:t>
                            </w:r>
                            <w:r w:rsidRPr="004E2BD9">
                              <w:rPr>
                                <w:b/>
                                <w:bCs/>
                                <w:lang w:val="en-US"/>
                              </w:rPr>
                              <w:t xml:space="preserve"> 372-00-34, 372-01-13</w:t>
                            </w:r>
                          </w:p>
                          <w:p w:rsidR="004E2BD9" w:rsidRPr="004E2BD9" w:rsidRDefault="004E2BD9" w:rsidP="004E2BD9">
                            <w:pPr>
                              <w:rPr>
                                <w:b/>
                                <w:bCs/>
                                <w:lang w:val="en-US"/>
                              </w:rPr>
                            </w:pPr>
                            <w:r w:rsidRPr="004E2BD9">
                              <w:rPr>
                                <w:b/>
                                <w:bCs/>
                                <w:lang w:val="en-US"/>
                              </w:rPr>
                              <w:t xml:space="preserve">e-mail: </w:t>
                            </w:r>
                            <w:hyperlink r:id="rId7" w:history="1">
                              <w:r w:rsidRPr="004E2BD9">
                                <w:rPr>
                                  <w:rStyle w:val="a3"/>
                                  <w:b/>
                                  <w:bCs/>
                                  <w:lang w:val="en-US"/>
                                </w:rPr>
                                <w:t>tb-center@mail.ru</w:t>
                              </w:r>
                            </w:hyperlink>
                            <w:r w:rsidRPr="004E2BD9">
                              <w:rPr>
                                <w:b/>
                                <w:bCs/>
                                <w:lang w:val="en-US"/>
                              </w:rPr>
                              <w:t xml:space="preserve">    </w:t>
                            </w:r>
                          </w:p>
                          <w:p w:rsidR="00EA12E9" w:rsidRPr="004E2BD9" w:rsidRDefault="00EA12E9" w:rsidP="004E2BD9">
                            <w:pPr>
                              <w:rPr>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6.75pt;margin-top:4.2pt;width:329.25pt;height:7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" stroked="f">
                <v:textbox>
                  <w:txbxContent>
                    <w:p w:rsidR="004E2BD9" w:rsidRDefault="004E2BD9" w:rsidP="004E2BD9">
                      <w:pPr>
                        <w:rPr>
                          <w:szCs w:val="28"/>
                        </w:rPr>
                      </w:pPr>
                    </w:p>
                    <w:p w:rsidR="004E2BD9" w:rsidRPr="004E2BD9" w:rsidRDefault="004E2BD9" w:rsidP="004E2BD9">
                      <w:pPr>
                        <w:rPr>
                          <w:b/>
                          <w:bCs/>
                        </w:rPr>
                      </w:pPr>
                      <w:r w:rsidRPr="004E2BD9">
                        <w:rPr>
                          <w:b/>
                          <w:bCs/>
                        </w:rPr>
                        <w:t>ООО «Центр «Технологии управления бизнесом»</w:t>
                      </w:r>
                    </w:p>
                    <w:p w:rsidR="004E2BD9" w:rsidRPr="004E2BD9" w:rsidRDefault="004E2BD9" w:rsidP="004E2BD9">
                      <w:pPr>
                        <w:rPr>
                          <w:b/>
                          <w:bCs/>
                        </w:rPr>
                      </w:pPr>
                      <w:smartTag w:uri="urn:schemas-microsoft-com:office:smarttags" w:element="metricconverter">
                        <w:smartTagPr>
                          <w:attr w:name="ProductID" w:val="443087 г"/>
                        </w:smartTagPr>
                        <w:r w:rsidRPr="004E2BD9">
                          <w:rPr>
                            <w:b/>
                            <w:bCs/>
                          </w:rPr>
                          <w:t>443087 г</w:t>
                        </w:r>
                      </w:smartTag>
                      <w:r w:rsidRPr="004E2BD9">
                        <w:rPr>
                          <w:b/>
                          <w:bCs/>
                        </w:rPr>
                        <w:t>. Самара, ул. Стара Загора, 139, оф 92</w:t>
                      </w:r>
                    </w:p>
                    <w:p w:rsidR="004E2BD9" w:rsidRPr="004E2BD9" w:rsidRDefault="004E2BD9" w:rsidP="004E2BD9">
                      <w:pPr>
                        <w:rPr>
                          <w:b/>
                          <w:bCs/>
                          <w:lang w:val="en-US"/>
                        </w:rPr>
                      </w:pPr>
                      <w:r w:rsidRPr="004E2BD9">
                        <w:rPr>
                          <w:b/>
                          <w:bCs/>
                        </w:rPr>
                        <w:t>т</w:t>
                      </w:r>
                      <w:r w:rsidRPr="004E2BD9">
                        <w:rPr>
                          <w:b/>
                          <w:bCs/>
                          <w:lang w:val="en-US"/>
                        </w:rPr>
                        <w:t xml:space="preserve"> 8 (846) 372-00-30,  972-06-40 </w:t>
                      </w:r>
                      <w:r w:rsidRPr="004E2BD9">
                        <w:rPr>
                          <w:b/>
                          <w:bCs/>
                        </w:rPr>
                        <w:t>т</w:t>
                      </w:r>
                      <w:r w:rsidRPr="004E2BD9">
                        <w:rPr>
                          <w:b/>
                          <w:bCs/>
                          <w:lang w:val="en-US"/>
                        </w:rPr>
                        <w:t>/</w:t>
                      </w:r>
                      <w:r w:rsidRPr="004E2BD9">
                        <w:rPr>
                          <w:b/>
                          <w:bCs/>
                        </w:rPr>
                        <w:t>ф</w:t>
                      </w:r>
                      <w:r w:rsidRPr="004E2BD9">
                        <w:rPr>
                          <w:b/>
                          <w:bCs/>
                          <w:lang w:val="en-US"/>
                        </w:rPr>
                        <w:t xml:space="preserve"> 372-00-34, 372-01-13</w:t>
                      </w:r>
                    </w:p>
                    <w:p w:rsidR="004E2BD9" w:rsidRPr="004E2BD9" w:rsidRDefault="004E2BD9" w:rsidP="004E2BD9">
                      <w:pPr>
                        <w:rPr>
                          <w:b/>
                          <w:bCs/>
                          <w:lang w:val="en-US"/>
                        </w:rPr>
                      </w:pPr>
                      <w:r w:rsidRPr="004E2BD9">
                        <w:rPr>
                          <w:b/>
                          <w:bCs/>
                          <w:lang w:val="en-US"/>
                        </w:rPr>
                        <w:t xml:space="preserve">e-mail: </w:t>
                      </w:r>
                      <w:hyperlink r:id="rId8" w:history="1">
                        <w:r w:rsidRPr="004E2BD9">
                          <w:rPr>
                            <w:rStyle w:val="a3"/>
                            <w:b/>
                            <w:bCs/>
                            <w:lang w:val="en-US"/>
                          </w:rPr>
                          <w:t>tb-center@mail.ru</w:t>
                        </w:r>
                      </w:hyperlink>
                      <w:r w:rsidRPr="004E2BD9">
                        <w:rPr>
                          <w:b/>
                          <w:bCs/>
                          <w:lang w:val="en-US"/>
                        </w:rPr>
                        <w:t xml:space="preserve">    </w:t>
                      </w:r>
                    </w:p>
                    <w:p w:rsidR="00EA12E9" w:rsidRPr="004E2BD9" w:rsidRDefault="00EA12E9" w:rsidP="004E2BD9">
                      <w:pPr>
                        <w:rPr>
                          <w:szCs w:val="28"/>
                          <w:lang w:val="en-US"/>
                        </w:rPr>
                      </w:pPr>
                    </w:p>
                  </w:txbxContent>
                </v:textbox>
              </v:shape>
            </w:pict>
          </mc:Fallback>
        </mc:AlternateContent>
      </w:r>
      <w:r>
        <w:rPr>
          <w:noProof/>
        </w:rPr>
        <w:drawing>
          <wp:inline distT="0" distB="0" distL="0" distR="0">
            <wp:extent cx="1485900" cy="990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990600"/>
                    </a:xfrm>
                    <a:prstGeom prst="rect">
                      <a:avLst/>
                    </a:prstGeom>
                    <a:noFill/>
                    <a:ln>
                      <a:noFill/>
                    </a:ln>
                  </pic:spPr>
                </pic:pic>
              </a:graphicData>
            </a:graphic>
          </wp:inline>
        </w:drawing>
      </w:r>
    </w:p>
    <w:p w:rsidR="00F20AFC" w:rsidRPr="004631B1" w:rsidRDefault="00F20AFC" w:rsidP="00F20AFC">
      <w:pPr>
        <w:rPr>
          <w:rFonts w:ascii="Arial" w:hAnsi="Arial" w:cs="Arial"/>
          <w:b/>
          <w:bCs/>
          <w:caps/>
          <w:sz w:val="20"/>
          <w:szCs w:val="20"/>
        </w:rPr>
      </w:pPr>
    </w:p>
    <w:p w:rsidR="000978FA" w:rsidRPr="000978FA" w:rsidRDefault="000978FA" w:rsidP="000978FA">
      <w:pPr>
        <w:jc w:val="center"/>
        <w:rPr>
          <w:rFonts w:ascii="Arial" w:hAnsi="Arial" w:cs="Arial"/>
          <w:b/>
          <w:sz w:val="28"/>
          <w:szCs w:val="28"/>
        </w:rPr>
      </w:pPr>
      <w:r w:rsidRPr="000978FA">
        <w:rPr>
          <w:rFonts w:ascii="Arial" w:hAnsi="Arial" w:cs="Arial"/>
          <w:b/>
          <w:sz w:val="28"/>
          <w:szCs w:val="28"/>
        </w:rPr>
        <w:t xml:space="preserve">СЛОЖНЫЕ ВОПРОСЫ ПРИМЕНЕНИЯ НОВЫХ НОРМ </w:t>
      </w:r>
    </w:p>
    <w:p w:rsidR="002B73A2" w:rsidRPr="000978FA" w:rsidRDefault="000978FA" w:rsidP="000978FA">
      <w:pPr>
        <w:jc w:val="center"/>
        <w:rPr>
          <w:rFonts w:ascii="Arial" w:hAnsi="Arial" w:cs="Arial"/>
          <w:b/>
          <w:sz w:val="28"/>
          <w:szCs w:val="28"/>
        </w:rPr>
      </w:pPr>
      <w:r w:rsidRPr="000978FA">
        <w:rPr>
          <w:rFonts w:ascii="Arial" w:hAnsi="Arial" w:cs="Arial"/>
          <w:b/>
          <w:sz w:val="28"/>
          <w:szCs w:val="28"/>
        </w:rPr>
        <w:t>В КОРПОРАТИВНОЙ ПРАКТИКЕ</w:t>
      </w:r>
    </w:p>
    <w:p w:rsidR="002B73A2" w:rsidRPr="00CE666E" w:rsidRDefault="00304685" w:rsidP="002B73A2">
      <w:pPr>
        <w:jc w:val="center"/>
        <w:rPr>
          <w:rFonts w:ascii="Arial" w:hAnsi="Arial" w:cs="Arial"/>
          <w:b/>
          <w:bCs/>
          <w:sz w:val="21"/>
          <w:szCs w:val="21"/>
        </w:rPr>
      </w:pPr>
      <w:r>
        <w:rPr>
          <w:rFonts w:ascii="Arial" w:hAnsi="Arial" w:cs="Arial"/>
          <w:b/>
          <w:bCs/>
          <w:sz w:val="21"/>
          <w:szCs w:val="21"/>
        </w:rPr>
        <w:t>консультационный</w:t>
      </w:r>
      <w:r w:rsidR="002B73A2" w:rsidRPr="00CE666E">
        <w:rPr>
          <w:rFonts w:ascii="Arial" w:hAnsi="Arial" w:cs="Arial"/>
          <w:b/>
          <w:bCs/>
          <w:sz w:val="21"/>
          <w:szCs w:val="21"/>
        </w:rPr>
        <w:t xml:space="preserve"> семинар</w:t>
      </w:r>
      <w:r w:rsidR="001D303E" w:rsidRPr="00CE666E">
        <w:rPr>
          <w:rFonts w:ascii="Arial" w:hAnsi="Arial" w:cs="Arial"/>
          <w:b/>
          <w:bCs/>
          <w:sz w:val="21"/>
          <w:szCs w:val="21"/>
        </w:rPr>
        <w:t xml:space="preserve"> </w:t>
      </w:r>
      <w:r w:rsidR="00CA4311" w:rsidRPr="00CE666E">
        <w:rPr>
          <w:rFonts w:ascii="Arial" w:hAnsi="Arial" w:cs="Arial"/>
          <w:b/>
          <w:bCs/>
          <w:sz w:val="21"/>
          <w:szCs w:val="21"/>
        </w:rPr>
        <w:t>в Самаре</w:t>
      </w:r>
      <w:r w:rsidR="002B73A2" w:rsidRPr="00CE666E">
        <w:rPr>
          <w:rFonts w:ascii="Arial" w:hAnsi="Arial" w:cs="Arial"/>
          <w:b/>
          <w:bCs/>
          <w:sz w:val="21"/>
          <w:szCs w:val="21"/>
        </w:rPr>
        <w:t xml:space="preserve">        </w:t>
      </w:r>
    </w:p>
    <w:p w:rsidR="00474D92" w:rsidRPr="000978FA" w:rsidRDefault="000978FA" w:rsidP="00A9656C">
      <w:pPr>
        <w:ind w:left="-142" w:firstLine="142"/>
        <w:jc w:val="center"/>
        <w:rPr>
          <w:rFonts w:ascii="Arial" w:hAnsi="Arial" w:cs="Arial"/>
          <w:b/>
          <w:bCs/>
          <w:sz w:val="28"/>
          <w:szCs w:val="28"/>
        </w:rPr>
      </w:pPr>
      <w:r w:rsidRPr="000978FA">
        <w:rPr>
          <w:rFonts w:ascii="Arial" w:hAnsi="Arial" w:cs="Arial"/>
          <w:b/>
          <w:bCs/>
          <w:sz w:val="28"/>
          <w:szCs w:val="28"/>
        </w:rPr>
        <w:t>13</w:t>
      </w:r>
      <w:r w:rsidR="002E51BC" w:rsidRPr="000978FA">
        <w:rPr>
          <w:rFonts w:ascii="Arial" w:hAnsi="Arial" w:cs="Arial"/>
          <w:b/>
          <w:bCs/>
          <w:sz w:val="28"/>
          <w:szCs w:val="28"/>
        </w:rPr>
        <w:t xml:space="preserve"> ноября</w:t>
      </w:r>
      <w:r w:rsidRPr="000978FA">
        <w:rPr>
          <w:rFonts w:ascii="Arial" w:hAnsi="Arial" w:cs="Arial"/>
          <w:b/>
          <w:bCs/>
          <w:sz w:val="28"/>
          <w:szCs w:val="28"/>
        </w:rPr>
        <w:t xml:space="preserve"> 2018</w:t>
      </w:r>
      <w:r w:rsidR="002B73A2" w:rsidRPr="000978FA">
        <w:rPr>
          <w:rFonts w:ascii="Arial" w:hAnsi="Arial" w:cs="Arial"/>
          <w:b/>
          <w:bCs/>
          <w:sz w:val="28"/>
          <w:szCs w:val="28"/>
        </w:rPr>
        <w:t>г</w:t>
      </w:r>
    </w:p>
    <w:p w:rsidR="0064385E" w:rsidRPr="00A9656C" w:rsidRDefault="0064385E" w:rsidP="00A758EE">
      <w:pPr>
        <w:rPr>
          <w:rFonts w:ascii="Arial" w:hAnsi="Arial" w:cs="Arial"/>
          <w:b/>
          <w:bCs/>
          <w:sz w:val="26"/>
          <w:szCs w:val="26"/>
        </w:rPr>
      </w:pPr>
    </w:p>
    <w:p w:rsidR="00B174EC" w:rsidRPr="0064385E" w:rsidRDefault="00B174EC" w:rsidP="00474D92">
      <w:pPr>
        <w:jc w:val="both"/>
        <w:rPr>
          <w:rFonts w:ascii="Arial" w:hAnsi="Arial" w:cs="Arial"/>
          <w:bCs/>
          <w:color w:val="000000"/>
          <w:spacing w:val="2"/>
          <w:sz w:val="22"/>
          <w:szCs w:val="22"/>
        </w:rPr>
      </w:pPr>
      <w:r w:rsidRPr="0064385E">
        <w:rPr>
          <w:rFonts w:ascii="Arial" w:hAnsi="Arial" w:cs="Arial"/>
          <w:color w:val="000000"/>
          <w:spacing w:val="2"/>
          <w:sz w:val="22"/>
          <w:szCs w:val="22"/>
        </w:rPr>
        <w:t xml:space="preserve">     </w:t>
      </w:r>
      <w:r w:rsidR="00581716" w:rsidRPr="0064385E">
        <w:rPr>
          <w:rFonts w:ascii="Arial" w:hAnsi="Arial" w:cs="Arial"/>
          <w:color w:val="000000"/>
          <w:spacing w:val="2"/>
          <w:sz w:val="22"/>
          <w:szCs w:val="22"/>
        </w:rPr>
        <w:t xml:space="preserve">  </w:t>
      </w:r>
      <w:r w:rsidR="00474D92" w:rsidRPr="0064385E">
        <w:rPr>
          <w:rFonts w:ascii="Arial" w:hAnsi="Arial" w:cs="Arial"/>
          <w:color w:val="000000"/>
          <w:spacing w:val="2"/>
          <w:sz w:val="22"/>
          <w:szCs w:val="22"/>
        </w:rPr>
        <w:t xml:space="preserve">Семинар проводит </w:t>
      </w:r>
      <w:r w:rsidR="00581716" w:rsidRPr="0064385E">
        <w:rPr>
          <w:rFonts w:ascii="Arial" w:hAnsi="Arial" w:cs="Arial"/>
          <w:b/>
          <w:color w:val="000000"/>
          <w:spacing w:val="2"/>
          <w:sz w:val="22"/>
          <w:szCs w:val="22"/>
        </w:rPr>
        <w:t>АНДРЕЙ</w:t>
      </w:r>
      <w:r w:rsidR="00474D92" w:rsidRPr="0064385E">
        <w:rPr>
          <w:rFonts w:ascii="Arial" w:hAnsi="Arial" w:cs="Arial"/>
          <w:b/>
          <w:color w:val="000000"/>
          <w:spacing w:val="2"/>
          <w:sz w:val="22"/>
          <w:szCs w:val="22"/>
        </w:rPr>
        <w:t xml:space="preserve"> АНАТОЛЬЕВИЧ ГЛУШЕЦКИЙ (г. Москва) </w:t>
      </w:r>
      <w:r w:rsidR="00474D92" w:rsidRPr="0064385E">
        <w:rPr>
          <w:rFonts w:ascii="Arial" w:hAnsi="Arial" w:cs="Arial"/>
          <w:color w:val="000000"/>
          <w:spacing w:val="2"/>
          <w:sz w:val="22"/>
          <w:szCs w:val="22"/>
        </w:rPr>
        <w:t xml:space="preserve">- доктор экономических наук, профессор Высшей школы финансов и менеджмента Российской академии народного хозяйства и государственной службы при Президенте РФ, </w:t>
      </w:r>
      <w:r w:rsidR="00474D92" w:rsidRPr="0064385E">
        <w:rPr>
          <w:rFonts w:ascii="Arial" w:hAnsi="Arial" w:cs="Arial"/>
          <w:bCs/>
          <w:color w:val="000000"/>
          <w:spacing w:val="2"/>
          <w:sz w:val="22"/>
          <w:szCs w:val="22"/>
        </w:rPr>
        <w:t>генеральный директор</w:t>
      </w:r>
      <w:r w:rsidR="00946090" w:rsidRPr="0064385E">
        <w:rPr>
          <w:rFonts w:ascii="Arial" w:hAnsi="Arial" w:cs="Arial"/>
          <w:bCs/>
          <w:color w:val="000000"/>
          <w:spacing w:val="2"/>
          <w:sz w:val="22"/>
          <w:szCs w:val="22"/>
        </w:rPr>
        <w:t xml:space="preserve"> Центра корпоративных стратегий, консультант ряда известных российских корпораций, автор монографий и более 200 публикаций  в области корпоративного права и управления.</w:t>
      </w:r>
    </w:p>
    <w:p w:rsidR="002E51BC" w:rsidRPr="00572D2B" w:rsidRDefault="002E51BC" w:rsidP="002E51BC">
      <w:pPr>
        <w:ind w:firstLine="708"/>
        <w:jc w:val="both"/>
        <w:rPr>
          <w:rFonts w:ascii="Arial" w:hAnsi="Arial" w:cs="Arial"/>
          <w:i/>
          <w:color w:val="000000"/>
          <w:spacing w:val="2"/>
          <w:sz w:val="20"/>
          <w:szCs w:val="20"/>
        </w:rPr>
      </w:pPr>
      <w:r w:rsidRPr="00572D2B">
        <w:rPr>
          <w:rFonts w:ascii="Arial" w:hAnsi="Arial" w:cs="Arial"/>
          <w:i/>
          <w:color w:val="000000"/>
          <w:spacing w:val="2"/>
          <w:sz w:val="20"/>
          <w:szCs w:val="20"/>
        </w:rPr>
        <w:t xml:space="preserve">Крупные сделки и сделки с заинтересованностью </w:t>
      </w:r>
      <w:r w:rsidRPr="00572D2B">
        <w:rPr>
          <w:rFonts w:ascii="Arial" w:hAnsi="Arial" w:cs="Arial"/>
          <w:i/>
          <w:color w:val="000000"/>
          <w:sz w:val="20"/>
          <w:szCs w:val="20"/>
        </w:rPr>
        <w:t xml:space="preserve">– </w:t>
      </w:r>
      <w:r w:rsidRPr="00572D2B">
        <w:rPr>
          <w:rFonts w:ascii="Arial" w:hAnsi="Arial" w:cs="Arial"/>
          <w:i/>
          <w:color w:val="000000"/>
          <w:spacing w:val="2"/>
          <w:sz w:val="20"/>
          <w:szCs w:val="20"/>
        </w:rPr>
        <w:t>самая запутанная часть корпоративного законодательства. Эти конструкции, заимствованные из американской правовой системы, трудно и конфликтно вписываются в российскую правовую традицию, что проявляется в обширной судебной практике и постоянной корректировке законодательства.</w:t>
      </w:r>
    </w:p>
    <w:p w:rsidR="000978FA" w:rsidRPr="00572D2B" w:rsidRDefault="002E51BC" w:rsidP="002E51BC">
      <w:pPr>
        <w:ind w:firstLine="708"/>
        <w:jc w:val="both"/>
        <w:rPr>
          <w:rFonts w:ascii="Arial" w:hAnsi="Arial" w:cs="Arial"/>
          <w:i/>
          <w:color w:val="000000"/>
          <w:spacing w:val="2"/>
          <w:sz w:val="20"/>
          <w:szCs w:val="20"/>
        </w:rPr>
      </w:pPr>
      <w:r w:rsidRPr="00572D2B">
        <w:rPr>
          <w:rFonts w:ascii="Arial" w:hAnsi="Arial" w:cs="Arial"/>
          <w:i/>
          <w:color w:val="000000"/>
          <w:spacing w:val="2"/>
          <w:sz w:val="20"/>
          <w:szCs w:val="20"/>
        </w:rPr>
        <w:t>Произошла очередная корректировка норм законов об акционерных обществах и обществах с ограниченной ответственность</w:t>
      </w:r>
      <w:r w:rsidR="00572D2B">
        <w:rPr>
          <w:rFonts w:ascii="Arial" w:hAnsi="Arial" w:cs="Arial"/>
          <w:i/>
          <w:color w:val="000000"/>
          <w:spacing w:val="2"/>
          <w:sz w:val="20"/>
          <w:szCs w:val="20"/>
        </w:rPr>
        <w:t xml:space="preserve">ю. </w:t>
      </w:r>
      <w:r w:rsidRPr="00572D2B">
        <w:rPr>
          <w:rFonts w:ascii="Arial" w:hAnsi="Arial" w:cs="Arial"/>
          <w:i/>
          <w:color w:val="000000"/>
          <w:spacing w:val="2"/>
          <w:sz w:val="20"/>
          <w:szCs w:val="20"/>
        </w:rPr>
        <w:t>Что поменялось, на что следует обратить внимание в практической деятельности? Какие типичные ошибки допускаются при одобрении этих сделок?</w:t>
      </w:r>
    </w:p>
    <w:p w:rsidR="002E51BC" w:rsidRPr="00572D2B" w:rsidRDefault="000978FA" w:rsidP="00572D2B">
      <w:pPr>
        <w:ind w:firstLine="708"/>
        <w:jc w:val="both"/>
        <w:rPr>
          <w:rFonts w:ascii="Arial" w:hAnsi="Arial" w:cs="Arial"/>
          <w:i/>
          <w:color w:val="000000"/>
          <w:spacing w:val="2"/>
          <w:sz w:val="20"/>
          <w:szCs w:val="20"/>
        </w:rPr>
      </w:pPr>
      <w:r w:rsidRPr="00572D2B">
        <w:rPr>
          <w:rFonts w:ascii="Arial" w:hAnsi="Arial" w:cs="Arial"/>
          <w:i/>
          <w:color w:val="000000"/>
          <w:spacing w:val="2"/>
          <w:sz w:val="20"/>
          <w:szCs w:val="20"/>
        </w:rPr>
        <w:t>Верховный суд обобщил судебную практику по спорам, связанным с этой категорий сделок, что именно разъяснила высшая судебная инстанция.</w:t>
      </w:r>
    </w:p>
    <w:p w:rsidR="000978FA" w:rsidRPr="00572D2B" w:rsidRDefault="002E51BC" w:rsidP="000978FA">
      <w:pPr>
        <w:shd w:val="clear" w:color="auto" w:fill="FFFFFF"/>
        <w:jc w:val="both"/>
        <w:rPr>
          <w:rFonts w:ascii="Arial" w:hAnsi="Arial" w:cs="Arial"/>
          <w:i/>
          <w:color w:val="000000"/>
          <w:sz w:val="20"/>
          <w:szCs w:val="20"/>
        </w:rPr>
      </w:pPr>
      <w:r w:rsidRPr="00572D2B">
        <w:rPr>
          <w:rFonts w:ascii="Arial" w:hAnsi="Arial" w:cs="Arial"/>
          <w:i/>
          <w:color w:val="000000"/>
          <w:sz w:val="20"/>
          <w:szCs w:val="20"/>
        </w:rPr>
        <w:t xml:space="preserve">           </w:t>
      </w:r>
      <w:r w:rsidR="00572D2B" w:rsidRPr="00572D2B">
        <w:rPr>
          <w:rFonts w:ascii="Arial" w:hAnsi="Arial" w:cs="Arial"/>
          <w:i/>
          <w:color w:val="000000"/>
          <w:sz w:val="20"/>
          <w:szCs w:val="20"/>
        </w:rPr>
        <w:t>На</w:t>
      </w:r>
      <w:r w:rsidR="00572D2B">
        <w:rPr>
          <w:rFonts w:ascii="Arial" w:hAnsi="Arial" w:cs="Arial"/>
          <w:i/>
          <w:color w:val="000000"/>
          <w:sz w:val="20"/>
          <w:szCs w:val="20"/>
        </w:rPr>
        <w:t xml:space="preserve"> семинаре</w:t>
      </w:r>
      <w:r w:rsidR="00572D2B">
        <w:rPr>
          <w:rFonts w:ascii="Arial" w:hAnsi="Arial" w:cs="Arial"/>
          <w:b/>
          <w:i/>
          <w:color w:val="000000"/>
          <w:sz w:val="20"/>
          <w:szCs w:val="20"/>
        </w:rPr>
        <w:t xml:space="preserve"> </w:t>
      </w:r>
      <w:r w:rsidR="000978FA" w:rsidRPr="00572D2B">
        <w:rPr>
          <w:rFonts w:ascii="Arial" w:hAnsi="Arial" w:cs="Arial"/>
          <w:i/>
          <w:color w:val="000000"/>
          <w:sz w:val="20"/>
          <w:szCs w:val="20"/>
        </w:rPr>
        <w:t xml:space="preserve">предлагается методика оценки сделок с точки зрения их отнесения к обычной хозяйственной деятельности, разработанная в соответствии с новым законодательным определением таких сделок. Методика основана на показателях бухгалтерской отчетности, которые позволяют выделить виды обычной деятельности корпорации, оценить масштаб их изменения. Даются критерии существенности изменения видов обычной деятельности, осуществляемых обществом. Данная методика позволяет обоснованно сократить количество экстраординарных сделок, выходящих за рамки обычной хозяйственной деятельности, подлежащих специальному одобрению. </w:t>
      </w:r>
    </w:p>
    <w:p w:rsidR="000978FA" w:rsidRPr="00572D2B" w:rsidRDefault="000978FA" w:rsidP="000978FA">
      <w:pPr>
        <w:shd w:val="clear" w:color="auto" w:fill="FFFFFF"/>
        <w:ind w:firstLine="708"/>
        <w:jc w:val="both"/>
        <w:rPr>
          <w:rFonts w:ascii="Arial" w:hAnsi="Arial" w:cs="Arial"/>
          <w:b/>
          <w:i/>
          <w:color w:val="000000"/>
          <w:sz w:val="20"/>
          <w:szCs w:val="20"/>
        </w:rPr>
      </w:pPr>
      <w:r w:rsidRPr="00572D2B">
        <w:rPr>
          <w:rFonts w:ascii="Arial" w:hAnsi="Arial" w:cs="Arial"/>
          <w:i/>
          <w:color w:val="000000"/>
          <w:sz w:val="20"/>
          <w:szCs w:val="20"/>
        </w:rPr>
        <w:t>Анализируется, кто такие контролирующие лица, рассматриваются примеры применения критериев определения контролирующих лиц.</w:t>
      </w:r>
    </w:p>
    <w:p w:rsidR="00572D2B" w:rsidRDefault="00572D2B" w:rsidP="00A758EE">
      <w:pPr>
        <w:shd w:val="clear" w:color="auto" w:fill="FFFFFF"/>
        <w:jc w:val="center"/>
        <w:rPr>
          <w:rFonts w:ascii="Arial" w:hAnsi="Arial" w:cs="Arial"/>
          <w:b/>
          <w:i/>
          <w:color w:val="000000"/>
          <w:sz w:val="22"/>
          <w:szCs w:val="22"/>
        </w:rPr>
      </w:pPr>
    </w:p>
    <w:p w:rsidR="00577B10" w:rsidRPr="000978FA" w:rsidRDefault="00A758EE" w:rsidP="00A758EE">
      <w:pPr>
        <w:shd w:val="clear" w:color="auto" w:fill="FFFFFF"/>
        <w:jc w:val="center"/>
        <w:rPr>
          <w:rFonts w:ascii="Arial" w:hAnsi="Arial" w:cs="Arial"/>
          <w:b/>
          <w:i/>
          <w:color w:val="000000"/>
          <w:sz w:val="22"/>
          <w:szCs w:val="22"/>
        </w:rPr>
      </w:pPr>
      <w:r>
        <w:rPr>
          <w:rFonts w:ascii="Arial" w:hAnsi="Arial" w:cs="Arial"/>
          <w:b/>
          <w:i/>
          <w:color w:val="000000"/>
          <w:sz w:val="22"/>
          <w:szCs w:val="22"/>
        </w:rPr>
        <w:t>ПРОГРАММА СЕМИНАРА</w:t>
      </w:r>
    </w:p>
    <w:p w:rsidR="00016230" w:rsidRDefault="00016230" w:rsidP="00016230">
      <w:pPr>
        <w:jc w:val="both"/>
        <w:rPr>
          <w:rFonts w:ascii="Arial" w:hAnsi="Arial" w:cs="Arial"/>
          <w:b/>
          <w:sz w:val="22"/>
          <w:szCs w:val="22"/>
        </w:rPr>
      </w:pPr>
    </w:p>
    <w:p w:rsidR="000978FA" w:rsidRPr="00A758EE" w:rsidRDefault="000978FA" w:rsidP="00223A2A">
      <w:pPr>
        <w:numPr>
          <w:ilvl w:val="0"/>
          <w:numId w:val="9"/>
        </w:numPr>
        <w:jc w:val="both"/>
        <w:rPr>
          <w:rFonts w:ascii="Arial" w:hAnsi="Arial" w:cs="Arial"/>
          <w:b/>
          <w:sz w:val="22"/>
          <w:szCs w:val="22"/>
        </w:rPr>
      </w:pPr>
      <w:r w:rsidRPr="00016230">
        <w:rPr>
          <w:rFonts w:ascii="Arial" w:hAnsi="Arial" w:cs="Arial"/>
          <w:b/>
          <w:sz w:val="22"/>
          <w:szCs w:val="22"/>
        </w:rPr>
        <w:t>КРУПНЫЕ СДЕЛКИ И СДЕЛКИ С ЗАИНТЕРЕСОВАННОСТЬЮ:</w:t>
      </w:r>
      <w:r w:rsidR="00016230">
        <w:rPr>
          <w:rFonts w:ascii="Arial" w:hAnsi="Arial" w:cs="Arial"/>
          <w:b/>
          <w:sz w:val="22"/>
          <w:szCs w:val="22"/>
        </w:rPr>
        <w:t xml:space="preserve"> </w:t>
      </w:r>
      <w:r w:rsidRPr="00016230">
        <w:rPr>
          <w:rFonts w:ascii="Arial" w:hAnsi="Arial" w:cs="Arial"/>
          <w:b/>
          <w:sz w:val="22"/>
          <w:szCs w:val="22"/>
        </w:rPr>
        <w:t>ИЗМЕНЕНИЯ В ЗАКОНОДАТЕЛЬСТВЕ И СУДЕБНОЙ ПРАКТИКЕ.</w:t>
      </w:r>
      <w:r w:rsidR="00016230">
        <w:rPr>
          <w:rFonts w:ascii="Arial" w:hAnsi="Arial" w:cs="Arial"/>
          <w:b/>
          <w:sz w:val="22"/>
          <w:szCs w:val="22"/>
        </w:rPr>
        <w:t xml:space="preserve"> </w:t>
      </w:r>
      <w:r w:rsidRPr="00016230">
        <w:rPr>
          <w:rFonts w:ascii="Arial" w:hAnsi="Arial" w:cs="Arial"/>
          <w:b/>
          <w:sz w:val="22"/>
          <w:szCs w:val="22"/>
        </w:rPr>
        <w:t>СДЕЛКИ, СОВЕРШАЕМЫЕ В РАМКАХ ОБЫЧНОЙ ХОЗЯЙСТВЕННОЙ ДЕЯТЕЛЬНОСТИ: МЕТОДИКА ВЫЯВЛЕНИЯ И ОЦЕНКИ</w:t>
      </w:r>
      <w:r w:rsidR="00016230">
        <w:rPr>
          <w:rFonts w:ascii="Arial" w:hAnsi="Arial" w:cs="Arial"/>
          <w:b/>
          <w:sz w:val="22"/>
          <w:szCs w:val="22"/>
        </w:rPr>
        <w:t xml:space="preserve">. </w:t>
      </w:r>
      <w:r w:rsidRPr="00016230">
        <w:rPr>
          <w:rFonts w:ascii="Arial" w:hAnsi="Arial" w:cs="Arial"/>
          <w:b/>
          <w:sz w:val="22"/>
          <w:szCs w:val="22"/>
        </w:rPr>
        <w:t>Комментарий к постановлению пленума Верховного суда РФ от 26.06.2018 «27 «Об оспаривании крупных сделок и сделок, в совершении которых имеется заинтересованность»</w:t>
      </w:r>
    </w:p>
    <w:p w:rsidR="000978FA" w:rsidRPr="00016230" w:rsidRDefault="00016230" w:rsidP="00223A2A">
      <w:pPr>
        <w:pStyle w:val="a8"/>
        <w:widowControl w:val="0"/>
        <w:numPr>
          <w:ilvl w:val="0"/>
          <w:numId w:val="4"/>
        </w:numPr>
        <w:autoSpaceDE w:val="0"/>
        <w:autoSpaceDN w:val="0"/>
        <w:adjustRightInd w:val="0"/>
        <w:contextualSpacing/>
        <w:jc w:val="both"/>
        <w:rPr>
          <w:rFonts w:ascii="Arial" w:hAnsi="Arial" w:cs="Arial"/>
          <w:b/>
          <w:sz w:val="22"/>
          <w:szCs w:val="22"/>
        </w:rPr>
      </w:pPr>
      <w:r>
        <w:rPr>
          <w:rFonts w:ascii="Arial" w:hAnsi="Arial" w:cs="Arial"/>
          <w:b/>
          <w:sz w:val="22"/>
          <w:szCs w:val="22"/>
        </w:rPr>
        <w:t>Крупные сделки</w:t>
      </w:r>
      <w:r w:rsidR="000978FA" w:rsidRPr="00016230">
        <w:rPr>
          <w:rFonts w:ascii="Arial" w:hAnsi="Arial" w:cs="Arial"/>
          <w:b/>
          <w:sz w:val="22"/>
          <w:szCs w:val="22"/>
        </w:rPr>
        <w:t xml:space="preserve"> </w:t>
      </w:r>
      <w:r w:rsidR="000978FA" w:rsidRPr="00016230">
        <w:rPr>
          <w:rFonts w:ascii="Arial" w:hAnsi="Arial" w:cs="Arial"/>
          <w:b/>
          <w:bCs/>
          <w:sz w:val="22"/>
          <w:szCs w:val="22"/>
        </w:rPr>
        <w:t xml:space="preserve">— </w:t>
      </w:r>
      <w:r>
        <w:rPr>
          <w:rFonts w:ascii="Arial" w:hAnsi="Arial" w:cs="Arial"/>
          <w:b/>
          <w:bCs/>
          <w:sz w:val="22"/>
          <w:szCs w:val="22"/>
        </w:rPr>
        <w:t>новые критерии, порядок совершения</w:t>
      </w:r>
    </w:p>
    <w:p w:rsidR="000978FA" w:rsidRPr="00016230"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Уточнение критери</w:t>
      </w:r>
      <w:r w:rsidR="00572D2B">
        <w:rPr>
          <w:rFonts w:ascii="Arial" w:hAnsi="Arial" w:cs="Arial"/>
          <w:color w:val="000000"/>
          <w:sz w:val="22"/>
          <w:szCs w:val="22"/>
        </w:rPr>
        <w:t>ев крупных сделок</w:t>
      </w:r>
      <w:r w:rsidRPr="00016230">
        <w:rPr>
          <w:rFonts w:ascii="Arial" w:hAnsi="Arial" w:cs="Arial"/>
          <w:color w:val="000000"/>
          <w:sz w:val="22"/>
          <w:szCs w:val="22"/>
        </w:rPr>
        <w:t xml:space="preserve"> </w:t>
      </w:r>
    </w:p>
    <w:p w:rsidR="000978FA" w:rsidRPr="00016230"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Законодательное определение сделок, совершаемых в процессе обычной хозяйствен</w:t>
      </w:r>
      <w:r w:rsidR="00572D2B">
        <w:rPr>
          <w:rFonts w:ascii="Arial" w:hAnsi="Arial" w:cs="Arial"/>
          <w:color w:val="000000"/>
          <w:sz w:val="22"/>
          <w:szCs w:val="22"/>
        </w:rPr>
        <w:t>ной деятельности, новые критерии</w:t>
      </w:r>
    </w:p>
    <w:p w:rsidR="000978FA" w:rsidRPr="00016230"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Методика оценки сделок с точки зрения их отнесения к обы</w:t>
      </w:r>
      <w:r w:rsidR="00572D2B">
        <w:rPr>
          <w:rFonts w:ascii="Arial" w:hAnsi="Arial" w:cs="Arial"/>
          <w:color w:val="000000"/>
          <w:sz w:val="22"/>
          <w:szCs w:val="22"/>
        </w:rPr>
        <w:t>чной хозяйственной деятельности</w:t>
      </w:r>
    </w:p>
    <w:p w:rsidR="000978FA" w:rsidRPr="00016230"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Показатели бухгалтерской отчетности, которые позволяют выделить виды обычной деятельности и оценить масштаб их изм</w:t>
      </w:r>
      <w:r w:rsidR="00572D2B">
        <w:rPr>
          <w:rFonts w:ascii="Arial" w:hAnsi="Arial" w:cs="Arial"/>
          <w:color w:val="000000"/>
          <w:sz w:val="22"/>
          <w:szCs w:val="22"/>
        </w:rPr>
        <w:t>енения. Критерии существенности</w:t>
      </w:r>
      <w:r w:rsidRPr="00016230">
        <w:rPr>
          <w:rFonts w:ascii="Arial" w:hAnsi="Arial" w:cs="Arial"/>
          <w:color w:val="000000"/>
          <w:sz w:val="22"/>
          <w:szCs w:val="22"/>
        </w:rPr>
        <w:t xml:space="preserve">  </w:t>
      </w:r>
    </w:p>
    <w:p w:rsidR="000978FA" w:rsidRPr="00016230"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Особенности опреде</w:t>
      </w:r>
      <w:r w:rsidR="00572D2B">
        <w:rPr>
          <w:rFonts w:ascii="Arial" w:hAnsi="Arial" w:cs="Arial"/>
          <w:color w:val="000000"/>
          <w:sz w:val="22"/>
          <w:szCs w:val="22"/>
        </w:rPr>
        <w:t>ления суммы сделки для понимания</w:t>
      </w:r>
      <w:r w:rsidRPr="00016230">
        <w:rPr>
          <w:rFonts w:ascii="Arial" w:hAnsi="Arial" w:cs="Arial"/>
          <w:color w:val="000000"/>
          <w:sz w:val="22"/>
          <w:szCs w:val="22"/>
        </w:rPr>
        <w:t xml:space="preserve"> </w:t>
      </w:r>
      <w:r w:rsidR="00572D2B">
        <w:rPr>
          <w:rFonts w:ascii="Arial" w:hAnsi="Arial" w:cs="Arial"/>
          <w:color w:val="000000"/>
          <w:sz w:val="22"/>
          <w:szCs w:val="22"/>
        </w:rPr>
        <w:t>является ли она крупной</w:t>
      </w:r>
    </w:p>
    <w:p w:rsidR="000978FA" w:rsidRPr="00016230" w:rsidRDefault="00572D2B"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Pr>
          <w:rFonts w:ascii="Arial" w:hAnsi="Arial" w:cs="Arial"/>
          <w:color w:val="000000"/>
          <w:sz w:val="22"/>
          <w:szCs w:val="22"/>
        </w:rPr>
        <w:t>Виды балансовой стоимости</w:t>
      </w:r>
      <w:r w:rsidR="000978FA" w:rsidRPr="00016230">
        <w:rPr>
          <w:rFonts w:ascii="Arial" w:hAnsi="Arial" w:cs="Arial"/>
          <w:color w:val="000000"/>
          <w:sz w:val="22"/>
          <w:szCs w:val="22"/>
        </w:rPr>
        <w:t xml:space="preserve"> активов, цена приобретения и отчуждения активов, рыночная стоимость активов. В каких случаях применяются эти п</w:t>
      </w:r>
      <w:r>
        <w:rPr>
          <w:rFonts w:ascii="Arial" w:hAnsi="Arial" w:cs="Arial"/>
          <w:color w:val="000000"/>
          <w:sz w:val="22"/>
          <w:szCs w:val="22"/>
        </w:rPr>
        <w:t>оказатели и как они соотносятся</w:t>
      </w:r>
    </w:p>
    <w:p w:rsidR="000978FA" w:rsidRPr="00016230"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Отчетный период в бухгалте</w:t>
      </w:r>
      <w:r w:rsidR="00572D2B">
        <w:rPr>
          <w:rFonts w:ascii="Arial" w:hAnsi="Arial" w:cs="Arial"/>
          <w:color w:val="000000"/>
          <w:sz w:val="22"/>
          <w:szCs w:val="22"/>
        </w:rPr>
        <w:t>рском учете</w:t>
      </w:r>
      <w:r w:rsidRPr="00016230">
        <w:rPr>
          <w:rFonts w:ascii="Arial" w:hAnsi="Arial" w:cs="Arial"/>
          <w:color w:val="000000"/>
          <w:sz w:val="22"/>
          <w:szCs w:val="22"/>
        </w:rPr>
        <w:t xml:space="preserve"> или на какую дату берется баланс д</w:t>
      </w:r>
      <w:r w:rsidR="00572D2B">
        <w:rPr>
          <w:rFonts w:ascii="Arial" w:hAnsi="Arial" w:cs="Arial"/>
          <w:color w:val="000000"/>
          <w:sz w:val="22"/>
          <w:szCs w:val="22"/>
        </w:rPr>
        <w:t>ля определения «размера» сделки</w:t>
      </w:r>
    </w:p>
    <w:p w:rsidR="00A758EE" w:rsidRPr="00572D2B"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Критерии опр</w:t>
      </w:r>
      <w:r w:rsidR="00572D2B">
        <w:rPr>
          <w:rFonts w:ascii="Arial" w:hAnsi="Arial" w:cs="Arial"/>
          <w:color w:val="000000"/>
          <w:sz w:val="22"/>
          <w:szCs w:val="22"/>
        </w:rPr>
        <w:t>еделения взаимосвязанных сделок</w:t>
      </w:r>
    </w:p>
    <w:p w:rsidR="000978FA" w:rsidRPr="00016230"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Расширенный круг исключений прим</w:t>
      </w:r>
      <w:r w:rsidR="00572D2B">
        <w:rPr>
          <w:rFonts w:ascii="Arial" w:hAnsi="Arial" w:cs="Arial"/>
          <w:color w:val="000000"/>
          <w:sz w:val="22"/>
          <w:szCs w:val="22"/>
        </w:rPr>
        <w:t>енения правил о крупных сделках</w:t>
      </w:r>
    </w:p>
    <w:p w:rsidR="000978FA" w:rsidRPr="00016230"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Согласие или последующее одобрение крупных сделок советом директор</w:t>
      </w:r>
      <w:r w:rsidR="00572D2B">
        <w:rPr>
          <w:rFonts w:ascii="Arial" w:hAnsi="Arial" w:cs="Arial"/>
          <w:color w:val="000000"/>
          <w:sz w:val="22"/>
          <w:szCs w:val="22"/>
        </w:rPr>
        <w:t>ов</w:t>
      </w:r>
    </w:p>
    <w:p w:rsidR="000978FA"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 xml:space="preserve">Выбывший член совета директоров </w:t>
      </w:r>
      <w:r w:rsidRPr="00016230">
        <w:rPr>
          <w:rFonts w:ascii="Arial" w:hAnsi="Arial" w:cs="Arial"/>
          <w:b/>
          <w:bCs/>
          <w:sz w:val="22"/>
          <w:szCs w:val="22"/>
        </w:rPr>
        <w:t xml:space="preserve">— </w:t>
      </w:r>
      <w:r w:rsidRPr="00016230">
        <w:rPr>
          <w:rFonts w:ascii="Arial" w:hAnsi="Arial" w:cs="Arial"/>
          <w:color w:val="000000"/>
          <w:sz w:val="22"/>
          <w:szCs w:val="22"/>
        </w:rPr>
        <w:t>кто он и как его определить?</w:t>
      </w:r>
    </w:p>
    <w:p w:rsidR="00572D2B" w:rsidRDefault="00572D2B" w:rsidP="00572D2B">
      <w:pPr>
        <w:widowControl w:val="0"/>
        <w:shd w:val="clear" w:color="auto" w:fill="FFFFFF"/>
        <w:autoSpaceDE w:val="0"/>
        <w:autoSpaceDN w:val="0"/>
        <w:adjustRightInd w:val="0"/>
        <w:jc w:val="both"/>
        <w:rPr>
          <w:rFonts w:ascii="Arial" w:hAnsi="Arial" w:cs="Arial"/>
          <w:color w:val="000000"/>
          <w:sz w:val="22"/>
          <w:szCs w:val="22"/>
        </w:rPr>
      </w:pPr>
    </w:p>
    <w:p w:rsidR="00572D2B" w:rsidRDefault="00572D2B" w:rsidP="00572D2B">
      <w:pPr>
        <w:widowControl w:val="0"/>
        <w:shd w:val="clear" w:color="auto" w:fill="FFFFFF"/>
        <w:autoSpaceDE w:val="0"/>
        <w:autoSpaceDN w:val="0"/>
        <w:adjustRightInd w:val="0"/>
        <w:rPr>
          <w:rFonts w:ascii="Arial" w:hAnsi="Arial" w:cs="Arial"/>
          <w:color w:val="000000"/>
          <w:sz w:val="22"/>
          <w:szCs w:val="22"/>
        </w:rPr>
      </w:pPr>
    </w:p>
    <w:p w:rsidR="00572D2B" w:rsidRPr="00016230" w:rsidRDefault="00572D2B" w:rsidP="00572D2B">
      <w:pPr>
        <w:widowControl w:val="0"/>
        <w:shd w:val="clear" w:color="auto" w:fill="FFFFFF"/>
        <w:autoSpaceDE w:val="0"/>
        <w:autoSpaceDN w:val="0"/>
        <w:adjustRightInd w:val="0"/>
        <w:rPr>
          <w:rFonts w:ascii="Arial" w:hAnsi="Arial" w:cs="Arial"/>
          <w:color w:val="000000"/>
          <w:sz w:val="22"/>
          <w:szCs w:val="22"/>
        </w:rPr>
      </w:pPr>
    </w:p>
    <w:p w:rsidR="000978FA" w:rsidRPr="00016230"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 xml:space="preserve">Порядок вынесения советом директоров вопроса о </w:t>
      </w:r>
      <w:r w:rsidR="00572D2B">
        <w:rPr>
          <w:rFonts w:ascii="Arial" w:hAnsi="Arial" w:cs="Arial"/>
          <w:color w:val="000000"/>
          <w:sz w:val="22"/>
          <w:szCs w:val="22"/>
        </w:rPr>
        <w:t>согласии или последующем</w:t>
      </w:r>
      <w:r w:rsidRPr="00016230">
        <w:rPr>
          <w:rFonts w:ascii="Arial" w:hAnsi="Arial" w:cs="Arial"/>
          <w:color w:val="000000"/>
          <w:sz w:val="22"/>
          <w:szCs w:val="22"/>
        </w:rPr>
        <w:t xml:space="preserve"> одобрени</w:t>
      </w:r>
      <w:r w:rsidR="00572D2B">
        <w:rPr>
          <w:rFonts w:ascii="Arial" w:hAnsi="Arial" w:cs="Arial"/>
          <w:color w:val="000000"/>
          <w:sz w:val="22"/>
          <w:szCs w:val="22"/>
        </w:rPr>
        <w:t>и</w:t>
      </w:r>
      <w:r w:rsidRPr="00016230">
        <w:rPr>
          <w:rFonts w:ascii="Arial" w:hAnsi="Arial" w:cs="Arial"/>
          <w:color w:val="000000"/>
          <w:sz w:val="22"/>
          <w:szCs w:val="22"/>
        </w:rPr>
        <w:t xml:space="preserve"> крупных сделок на рассмотр</w:t>
      </w:r>
      <w:r w:rsidR="00572D2B">
        <w:rPr>
          <w:rFonts w:ascii="Arial" w:hAnsi="Arial" w:cs="Arial"/>
          <w:color w:val="000000"/>
          <w:sz w:val="22"/>
          <w:szCs w:val="22"/>
        </w:rPr>
        <w:t>ение общего собрания акционеров</w:t>
      </w:r>
      <w:r w:rsidRPr="00016230">
        <w:rPr>
          <w:rFonts w:ascii="Arial" w:hAnsi="Arial" w:cs="Arial"/>
          <w:color w:val="000000"/>
          <w:sz w:val="22"/>
          <w:szCs w:val="22"/>
        </w:rPr>
        <w:t xml:space="preserve"> </w:t>
      </w:r>
    </w:p>
    <w:p w:rsidR="000978FA" w:rsidRPr="00A758EE" w:rsidRDefault="000978FA" w:rsidP="00223A2A">
      <w:pPr>
        <w:widowControl w:val="0"/>
        <w:numPr>
          <w:ilvl w:val="0"/>
          <w:numId w:val="2"/>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Согласие или последующее одобрение крупных сделок общим собранием акционеров: предварительное с</w:t>
      </w:r>
      <w:r w:rsidR="00572D2B">
        <w:rPr>
          <w:rFonts w:ascii="Arial" w:hAnsi="Arial" w:cs="Arial"/>
          <w:color w:val="000000"/>
          <w:sz w:val="22"/>
          <w:szCs w:val="22"/>
        </w:rPr>
        <w:t>огласие и последующее одобрение</w:t>
      </w:r>
    </w:p>
    <w:p w:rsidR="000978FA" w:rsidRPr="00016230" w:rsidRDefault="00016230" w:rsidP="00223A2A">
      <w:pPr>
        <w:pStyle w:val="30"/>
        <w:numPr>
          <w:ilvl w:val="0"/>
          <w:numId w:val="3"/>
        </w:numPr>
        <w:ind w:left="0"/>
        <w:jc w:val="both"/>
        <w:rPr>
          <w:rFonts w:ascii="Arial" w:eastAsia="Times New Roman" w:hAnsi="Arial" w:cs="Arial"/>
          <w:b/>
          <w:color w:val="000000"/>
          <w:sz w:val="22"/>
          <w:szCs w:val="22"/>
        </w:rPr>
      </w:pPr>
      <w:r>
        <w:rPr>
          <w:rFonts w:ascii="Arial" w:eastAsia="Times New Roman" w:hAnsi="Arial" w:cs="Arial"/>
          <w:b/>
          <w:color w:val="000000"/>
          <w:sz w:val="22"/>
          <w:szCs w:val="22"/>
        </w:rPr>
        <w:t>Сделки, в отношении которых имеется заинтересованность</w:t>
      </w:r>
      <w:r w:rsidR="000978FA" w:rsidRPr="00016230">
        <w:rPr>
          <w:rFonts w:ascii="Arial" w:eastAsia="Times New Roman" w:hAnsi="Arial" w:cs="Arial"/>
          <w:b/>
          <w:color w:val="000000"/>
          <w:sz w:val="22"/>
          <w:szCs w:val="22"/>
        </w:rPr>
        <w:t xml:space="preserve">: </w:t>
      </w:r>
      <w:r>
        <w:rPr>
          <w:rFonts w:ascii="Arial" w:eastAsia="Times New Roman" w:hAnsi="Arial" w:cs="Arial"/>
          <w:b/>
          <w:color w:val="000000"/>
          <w:sz w:val="22"/>
          <w:szCs w:val="22"/>
        </w:rPr>
        <w:t>критерии, порядок совершения</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Понятие заинтересованного лица, разли</w:t>
      </w:r>
      <w:r w:rsidR="00572D2B">
        <w:rPr>
          <w:rFonts w:ascii="Arial" w:hAnsi="Arial" w:cs="Arial"/>
          <w:color w:val="000000"/>
          <w:sz w:val="22"/>
          <w:szCs w:val="22"/>
        </w:rPr>
        <w:t>чные аспекты заинтересованности</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Замена аффилир</w:t>
      </w:r>
      <w:r w:rsidR="00572D2B">
        <w:rPr>
          <w:rFonts w:ascii="Arial" w:hAnsi="Arial" w:cs="Arial"/>
          <w:color w:val="000000"/>
          <w:sz w:val="22"/>
          <w:szCs w:val="22"/>
        </w:rPr>
        <w:t>ованных лиц контролирующим лицом</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Критерии определения контролирующего лица</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Прямая заинтересованность</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Аспек</w:t>
      </w:r>
      <w:r w:rsidR="00572D2B">
        <w:rPr>
          <w:rFonts w:ascii="Arial" w:hAnsi="Arial" w:cs="Arial"/>
          <w:color w:val="000000"/>
          <w:sz w:val="22"/>
          <w:szCs w:val="22"/>
        </w:rPr>
        <w:t>ты косвенной заинтересованности</w:t>
      </w:r>
      <w:r w:rsidRPr="00016230">
        <w:rPr>
          <w:rFonts w:ascii="Arial" w:hAnsi="Arial" w:cs="Arial"/>
          <w:color w:val="000000"/>
          <w:sz w:val="22"/>
          <w:szCs w:val="22"/>
        </w:rPr>
        <w:t xml:space="preserve"> </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Алгоритм подгото</w:t>
      </w:r>
      <w:r w:rsidR="00572D2B">
        <w:rPr>
          <w:rFonts w:ascii="Arial" w:hAnsi="Arial" w:cs="Arial"/>
          <w:color w:val="000000"/>
          <w:sz w:val="22"/>
          <w:szCs w:val="22"/>
        </w:rPr>
        <w:t>вки списка заинтересованных лиц</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Понятие сделок, в отношении которых имеется заинтересованн</w:t>
      </w:r>
      <w:r w:rsidR="00572D2B">
        <w:rPr>
          <w:rFonts w:ascii="Arial" w:hAnsi="Arial" w:cs="Arial"/>
          <w:color w:val="000000"/>
          <w:sz w:val="22"/>
          <w:szCs w:val="22"/>
        </w:rPr>
        <w:t>ость</w:t>
      </w:r>
    </w:p>
    <w:p w:rsidR="000978FA" w:rsidRPr="00016230" w:rsidRDefault="00572D2B"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Pr>
          <w:rFonts w:ascii="Arial" w:hAnsi="Arial" w:cs="Arial"/>
          <w:color w:val="000000"/>
          <w:sz w:val="22"/>
          <w:szCs w:val="22"/>
        </w:rPr>
        <w:t>Выгодоприобретатель по сделке</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Момент</w:t>
      </w:r>
      <w:r w:rsidR="00572D2B">
        <w:rPr>
          <w:rFonts w:ascii="Arial" w:hAnsi="Arial" w:cs="Arial"/>
          <w:color w:val="000000"/>
          <w:sz w:val="22"/>
          <w:szCs w:val="22"/>
        </w:rPr>
        <w:t xml:space="preserve"> определения заинтересованности</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 xml:space="preserve">Обязанность общества информировать определенных лиц о предстоящих сделках с заинтересованностью. </w:t>
      </w:r>
      <w:r w:rsidR="00572D2B">
        <w:rPr>
          <w:rFonts w:ascii="Arial" w:hAnsi="Arial" w:cs="Arial"/>
          <w:color w:val="000000"/>
          <w:sz w:val="22"/>
          <w:szCs w:val="22"/>
        </w:rPr>
        <w:t>Порядок информирования</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Лица, имеющие право требовать созыва совета директоров или</w:t>
      </w:r>
      <w:r w:rsidR="00572D2B">
        <w:rPr>
          <w:rFonts w:ascii="Arial" w:hAnsi="Arial" w:cs="Arial"/>
          <w:color w:val="000000"/>
          <w:sz w:val="22"/>
          <w:szCs w:val="22"/>
        </w:rPr>
        <w:t xml:space="preserve"> общего собрания акционеров</w:t>
      </w:r>
      <w:r w:rsidRPr="00016230">
        <w:rPr>
          <w:rFonts w:ascii="Arial" w:hAnsi="Arial" w:cs="Arial"/>
          <w:color w:val="000000"/>
          <w:sz w:val="22"/>
          <w:szCs w:val="22"/>
        </w:rPr>
        <w:t xml:space="preserve"> для предварительного согласия на совершение сделок с заинтересованностью. Сроки и порядок предъявления требования. Основания для отка</w:t>
      </w:r>
      <w:r w:rsidR="00572D2B">
        <w:rPr>
          <w:rFonts w:ascii="Arial" w:hAnsi="Arial" w:cs="Arial"/>
          <w:color w:val="000000"/>
          <w:sz w:val="22"/>
          <w:szCs w:val="22"/>
        </w:rPr>
        <w:t>за в удовлетворении требования</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 xml:space="preserve">Новые критерии определения органов корпорации, в компетенцию которых отнесен вопрос дачи согласия на совершение </w:t>
      </w:r>
      <w:r w:rsidR="00572D2B">
        <w:rPr>
          <w:rFonts w:ascii="Arial" w:hAnsi="Arial" w:cs="Arial"/>
          <w:color w:val="000000"/>
          <w:sz w:val="22"/>
          <w:szCs w:val="22"/>
        </w:rPr>
        <w:t>или последующее</w:t>
      </w:r>
      <w:r w:rsidRPr="00016230">
        <w:rPr>
          <w:rFonts w:ascii="Arial" w:hAnsi="Arial" w:cs="Arial"/>
          <w:color w:val="000000"/>
          <w:sz w:val="22"/>
          <w:szCs w:val="22"/>
        </w:rPr>
        <w:t xml:space="preserve"> </w:t>
      </w:r>
      <w:r w:rsidR="00572D2B">
        <w:rPr>
          <w:rFonts w:ascii="Arial" w:hAnsi="Arial" w:cs="Arial"/>
          <w:color w:val="000000"/>
          <w:sz w:val="22"/>
          <w:szCs w:val="22"/>
        </w:rPr>
        <w:t>одобрение</w:t>
      </w:r>
      <w:r w:rsidRPr="00016230">
        <w:rPr>
          <w:rFonts w:ascii="Arial" w:hAnsi="Arial" w:cs="Arial"/>
          <w:color w:val="000000"/>
          <w:sz w:val="22"/>
          <w:szCs w:val="22"/>
        </w:rPr>
        <w:t xml:space="preserve"> сделок с заинтересованностью</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Согласие на совершение или последующее одобрение сделок с заинтересованностью советом д</w:t>
      </w:r>
      <w:r w:rsidR="007E5B94">
        <w:rPr>
          <w:rFonts w:ascii="Arial" w:hAnsi="Arial" w:cs="Arial"/>
          <w:color w:val="000000"/>
          <w:sz w:val="22"/>
          <w:szCs w:val="22"/>
        </w:rPr>
        <w:t>иректоров непубличной компании</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Согласие на совершение или последующее одобрение сделок с заинтересованностью советом директоров публичного общества. Незаинтерес</w:t>
      </w:r>
      <w:r w:rsidR="007E5B94">
        <w:rPr>
          <w:rFonts w:ascii="Arial" w:hAnsi="Arial" w:cs="Arial"/>
          <w:color w:val="000000"/>
          <w:sz w:val="22"/>
          <w:szCs w:val="22"/>
        </w:rPr>
        <w:t>ованные и независимые директора</w:t>
      </w:r>
      <w:r w:rsidRPr="00016230">
        <w:rPr>
          <w:rFonts w:ascii="Arial" w:hAnsi="Arial" w:cs="Arial"/>
          <w:color w:val="000000"/>
          <w:sz w:val="22"/>
          <w:szCs w:val="22"/>
        </w:rPr>
        <w:t xml:space="preserve"> </w:t>
      </w:r>
    </w:p>
    <w:p w:rsidR="000978FA" w:rsidRPr="00016230" w:rsidRDefault="000978FA" w:rsidP="00223A2A">
      <w:pPr>
        <w:widowControl w:val="0"/>
        <w:numPr>
          <w:ilvl w:val="0"/>
          <w:numId w:val="1"/>
        </w:numPr>
        <w:shd w:val="clear" w:color="auto" w:fill="FFFFFF"/>
        <w:autoSpaceDE w:val="0"/>
        <w:autoSpaceDN w:val="0"/>
        <w:adjustRightInd w:val="0"/>
        <w:jc w:val="both"/>
        <w:rPr>
          <w:rFonts w:ascii="Arial" w:hAnsi="Arial" w:cs="Arial"/>
          <w:color w:val="000000"/>
          <w:sz w:val="22"/>
          <w:szCs w:val="22"/>
        </w:rPr>
      </w:pPr>
      <w:r w:rsidRPr="00016230">
        <w:rPr>
          <w:rFonts w:ascii="Arial" w:hAnsi="Arial" w:cs="Arial"/>
          <w:color w:val="000000"/>
          <w:sz w:val="22"/>
          <w:szCs w:val="22"/>
        </w:rPr>
        <w:t>Согласие и последующее одобрение сделок с заинтересованностью общим собранием акционеров. Порядок принятия решения и определения кворум</w:t>
      </w:r>
      <w:r w:rsidR="007E5B94">
        <w:rPr>
          <w:rFonts w:ascii="Arial" w:hAnsi="Arial" w:cs="Arial"/>
          <w:color w:val="000000"/>
          <w:sz w:val="22"/>
          <w:szCs w:val="22"/>
        </w:rPr>
        <w:t>а по этому вопросу повестки дня</w:t>
      </w:r>
    </w:p>
    <w:p w:rsidR="000978FA" w:rsidRPr="00016230" w:rsidRDefault="00016230" w:rsidP="00223A2A">
      <w:pPr>
        <w:pStyle w:val="30"/>
        <w:numPr>
          <w:ilvl w:val="0"/>
          <w:numId w:val="3"/>
        </w:numPr>
        <w:ind w:left="0"/>
        <w:jc w:val="both"/>
        <w:rPr>
          <w:rFonts w:ascii="Arial" w:eastAsia="Times New Roman" w:hAnsi="Arial" w:cs="Arial"/>
          <w:b/>
          <w:color w:val="000000"/>
          <w:sz w:val="22"/>
          <w:szCs w:val="22"/>
        </w:rPr>
      </w:pPr>
      <w:r>
        <w:rPr>
          <w:rFonts w:ascii="Arial" w:eastAsia="Times New Roman" w:hAnsi="Arial" w:cs="Arial"/>
          <w:b/>
          <w:color w:val="000000"/>
          <w:sz w:val="22"/>
          <w:szCs w:val="22"/>
        </w:rPr>
        <w:t>Основания и порядок обжалования экстраординарных сделок: круг лиц, имеющих право предъявлять иски, групповые иски</w:t>
      </w:r>
      <w:r w:rsidR="0011399B">
        <w:rPr>
          <w:rFonts w:ascii="Arial" w:eastAsia="Times New Roman" w:hAnsi="Arial" w:cs="Arial"/>
          <w:b/>
          <w:color w:val="000000"/>
          <w:sz w:val="22"/>
          <w:szCs w:val="22"/>
        </w:rPr>
        <w:t>, условия, при которых иск подлежит удовлетворению</w:t>
      </w:r>
      <w:r w:rsidR="000978FA" w:rsidRPr="00016230">
        <w:rPr>
          <w:rFonts w:ascii="Arial" w:eastAsia="Times New Roman" w:hAnsi="Arial" w:cs="Arial"/>
          <w:b/>
          <w:color w:val="000000"/>
          <w:sz w:val="22"/>
          <w:szCs w:val="22"/>
        </w:rPr>
        <w:t>.</w:t>
      </w:r>
      <w:r w:rsidR="0011399B">
        <w:rPr>
          <w:rFonts w:ascii="Arial" w:eastAsia="Times New Roman" w:hAnsi="Arial" w:cs="Arial"/>
          <w:b/>
          <w:color w:val="000000"/>
          <w:sz w:val="22"/>
          <w:szCs w:val="22"/>
        </w:rPr>
        <w:t xml:space="preserve"> П</w:t>
      </w:r>
      <w:r w:rsidR="007E5B94">
        <w:rPr>
          <w:rFonts w:ascii="Arial" w:eastAsia="Times New Roman" w:hAnsi="Arial" w:cs="Arial"/>
          <w:b/>
          <w:color w:val="000000"/>
          <w:sz w:val="22"/>
          <w:szCs w:val="22"/>
        </w:rPr>
        <w:t>остановление</w:t>
      </w:r>
      <w:r w:rsidR="000978FA" w:rsidRPr="00016230">
        <w:rPr>
          <w:rFonts w:ascii="Arial" w:eastAsia="Times New Roman" w:hAnsi="Arial" w:cs="Arial"/>
          <w:b/>
          <w:color w:val="000000"/>
          <w:sz w:val="22"/>
          <w:szCs w:val="22"/>
        </w:rPr>
        <w:t xml:space="preserve"> пленума Верховного суда РФ от 26.06.2018 «27 «Об оспаривании крупных сделок и сделок, в совершении которых имеется заинтересованность»</w:t>
      </w:r>
    </w:p>
    <w:p w:rsidR="000978FA" w:rsidRDefault="000978FA" w:rsidP="00572D2B">
      <w:pPr>
        <w:jc w:val="both"/>
        <w:rPr>
          <w:rFonts w:ascii="Arial" w:hAnsi="Arial" w:cs="Arial"/>
          <w:sz w:val="22"/>
          <w:szCs w:val="22"/>
        </w:rPr>
      </w:pPr>
    </w:p>
    <w:p w:rsidR="00A758EE" w:rsidRDefault="00A758EE" w:rsidP="00A758EE">
      <w:pPr>
        <w:rPr>
          <w:rFonts w:ascii="Arial" w:hAnsi="Arial" w:cs="Arial"/>
          <w:b/>
          <w:color w:val="C00000"/>
          <w:sz w:val="22"/>
          <w:szCs w:val="22"/>
        </w:rPr>
      </w:pPr>
    </w:p>
    <w:p w:rsidR="000978FA" w:rsidRPr="00016230" w:rsidRDefault="000978FA" w:rsidP="00223A2A">
      <w:pPr>
        <w:numPr>
          <w:ilvl w:val="0"/>
          <w:numId w:val="9"/>
        </w:numPr>
        <w:ind w:right="57"/>
        <w:jc w:val="both"/>
        <w:rPr>
          <w:rFonts w:ascii="Arial" w:hAnsi="Arial" w:cs="Arial"/>
          <w:b/>
          <w:sz w:val="22"/>
          <w:szCs w:val="22"/>
        </w:rPr>
      </w:pPr>
      <w:r w:rsidRPr="00016230">
        <w:rPr>
          <w:rFonts w:ascii="Arial" w:hAnsi="Arial" w:cs="Arial"/>
          <w:b/>
          <w:sz w:val="22"/>
          <w:szCs w:val="22"/>
        </w:rPr>
        <w:t>КОРПОРАТИВНЫЙ ДОГОВОР И ОПЦИОНЫ: ВОЗМОЖНОСТЬ КОНСТРУИРОВАТЬ ОСОБЫЕ ОТНОШЕНИЯ УЧАСТНИКОВ АО И ООО</w:t>
      </w:r>
    </w:p>
    <w:p w:rsidR="000978FA" w:rsidRPr="00572D2B" w:rsidRDefault="000978FA" w:rsidP="000978FA">
      <w:pPr>
        <w:ind w:right="57"/>
        <w:jc w:val="both"/>
        <w:rPr>
          <w:rFonts w:ascii="Arial" w:hAnsi="Arial" w:cs="Arial"/>
          <w:i/>
          <w:sz w:val="20"/>
          <w:szCs w:val="20"/>
        </w:rPr>
      </w:pPr>
      <w:bookmarkStart w:id="1" w:name="_Hlk496089633"/>
      <w:r w:rsidRPr="00572D2B">
        <w:rPr>
          <w:rFonts w:ascii="Arial" w:hAnsi="Arial" w:cs="Arial"/>
          <w:i/>
          <w:sz w:val="20"/>
          <w:szCs w:val="20"/>
        </w:rPr>
        <w:t xml:space="preserve">Имеется эффективный инструмент, который позволяет участникам АО и ООО самостоятельно </w:t>
      </w:r>
      <w:r w:rsidR="00A758EE" w:rsidRPr="00572D2B">
        <w:rPr>
          <w:rFonts w:ascii="Arial" w:hAnsi="Arial" w:cs="Arial"/>
          <w:i/>
          <w:sz w:val="20"/>
          <w:szCs w:val="20"/>
        </w:rPr>
        <w:t>конструировать свои отношения</w:t>
      </w:r>
      <w:r w:rsidRPr="00572D2B">
        <w:rPr>
          <w:rFonts w:ascii="Arial" w:hAnsi="Arial" w:cs="Arial"/>
          <w:i/>
          <w:sz w:val="20"/>
          <w:szCs w:val="20"/>
        </w:rPr>
        <w:t xml:space="preserve"> за пределами рамок, установленных законом. Например, установить, что один участник не может произвести отчуждение своих акций или доли в уставном капитале общества без согласия другого участника или у него есть право потребовать совместного отчуждения акций или долей. Предусмотреть в обществе наличие двух исполнительных директоров, представляющи</w:t>
      </w:r>
      <w:r w:rsidR="007E5B94">
        <w:rPr>
          <w:rFonts w:ascii="Arial" w:hAnsi="Arial" w:cs="Arial"/>
          <w:i/>
          <w:sz w:val="20"/>
          <w:szCs w:val="20"/>
        </w:rPr>
        <w:t xml:space="preserve">х </w:t>
      </w:r>
      <w:r w:rsidRPr="00572D2B">
        <w:rPr>
          <w:rFonts w:ascii="Arial" w:hAnsi="Arial" w:cs="Arial"/>
          <w:i/>
          <w:sz w:val="20"/>
          <w:szCs w:val="20"/>
        </w:rPr>
        <w:t>интересы каждого из участника (групп участников) и установить особый регламент голосования при избрании членов совета директоров и единоличного исполнительного органа. Договориться о согласованном голосовании по ряду ключевых вопросов. В компаниях с двумя участниками (двумя группами участников) нередко возникают тупиковые ситуации, когда они в состоянии конфликта не могут принять решения, необходимые для деятельности компании,</w:t>
      </w:r>
      <w:r w:rsidRPr="00572D2B">
        <w:rPr>
          <w:rFonts w:ascii="Arial" w:hAnsi="Arial" w:cs="Arial"/>
          <w:i/>
          <w:color w:val="000000"/>
          <w:kern w:val="24"/>
          <w:sz w:val="20"/>
          <w:szCs w:val="20"/>
        </w:rPr>
        <w:t xml:space="preserve"> —</w:t>
      </w:r>
      <w:r w:rsidRPr="00572D2B">
        <w:rPr>
          <w:rFonts w:ascii="Arial" w:hAnsi="Arial" w:cs="Arial"/>
          <w:i/>
          <w:sz w:val="20"/>
          <w:szCs w:val="20"/>
        </w:rPr>
        <w:t xml:space="preserve"> можно заранее предусмотреть цивилизованные методы выхода из таких ситуаций.</w:t>
      </w:r>
    </w:p>
    <w:p w:rsidR="000978FA" w:rsidRPr="00572D2B" w:rsidRDefault="000978FA" w:rsidP="000978FA">
      <w:pPr>
        <w:ind w:right="57"/>
        <w:jc w:val="both"/>
        <w:rPr>
          <w:rFonts w:ascii="Arial" w:hAnsi="Arial" w:cs="Arial"/>
          <w:i/>
          <w:sz w:val="20"/>
          <w:szCs w:val="20"/>
        </w:rPr>
      </w:pPr>
      <w:bookmarkStart w:id="2" w:name="_Hlk502909591"/>
      <w:bookmarkEnd w:id="1"/>
      <w:r w:rsidRPr="00572D2B">
        <w:rPr>
          <w:rFonts w:ascii="Arial" w:hAnsi="Arial" w:cs="Arial"/>
          <w:i/>
          <w:sz w:val="20"/>
          <w:szCs w:val="20"/>
        </w:rPr>
        <w:t xml:space="preserve">Корпоративный договор акционеров и участников ООО, в том числе включающий опционы, позволяет сделать все выше перечисленное и многое другое. Данные договоренности будут иметь не «джентельменский характер», а опираться на силу закона и эффективные способы обеспечения принятых обязательств. </w:t>
      </w:r>
    </w:p>
    <w:bookmarkEnd w:id="2"/>
    <w:p w:rsidR="000978FA" w:rsidRPr="00572D2B" w:rsidRDefault="000978FA" w:rsidP="000978FA">
      <w:pPr>
        <w:jc w:val="center"/>
        <w:rPr>
          <w:rFonts w:ascii="Arial" w:hAnsi="Arial" w:cs="Arial"/>
          <w:b/>
          <w:sz w:val="20"/>
          <w:szCs w:val="20"/>
        </w:rPr>
      </w:pPr>
    </w:p>
    <w:p w:rsidR="000978FA" w:rsidRPr="00016230" w:rsidRDefault="0011399B"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bookmarkStart w:id="3" w:name="_Hlk502909761"/>
      <w:r>
        <w:rPr>
          <w:rFonts w:ascii="Arial" w:eastAsia="Times New Roman" w:hAnsi="Arial" w:cs="Arial"/>
          <w:b/>
          <w:color w:val="000000"/>
          <w:kern w:val="24"/>
          <w:sz w:val="22"/>
          <w:szCs w:val="22"/>
        </w:rPr>
        <w:t>Предмет корпоративного договора</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Совместное осуществление корпоративных прав</w:t>
      </w:r>
    </w:p>
    <w:p w:rsidR="000978FA" w:rsidRPr="00016230" w:rsidRDefault="0011399B"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Смешанный договор</w:t>
      </w:r>
    </w:p>
    <w:p w:rsidR="00572D2B" w:rsidRPr="00572D2B"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Совместное осуществление корпоративных прав (корпоративный договор) и права собственности на акции и доли в уставном капитале общества (осуществление вещных прав)</w:t>
      </w:r>
    </w:p>
    <w:p w:rsidR="000978FA" w:rsidRPr="00572D2B" w:rsidRDefault="000978FA" w:rsidP="00223A2A">
      <w:pPr>
        <w:pStyle w:val="a8"/>
        <w:numPr>
          <w:ilvl w:val="0"/>
          <w:numId w:val="5"/>
        </w:numPr>
        <w:kinsoku w:val="0"/>
        <w:overflowPunct w:val="0"/>
        <w:contextualSpacing/>
        <w:textAlignment w:val="baseline"/>
        <w:rPr>
          <w:rFonts w:ascii="Arial" w:hAnsi="Arial" w:cs="Arial"/>
          <w:b/>
          <w:sz w:val="22"/>
          <w:szCs w:val="22"/>
        </w:rPr>
      </w:pPr>
      <w:r w:rsidRPr="00016230">
        <w:rPr>
          <w:rFonts w:ascii="Arial" w:eastAsia="Times New Roman" w:hAnsi="Arial" w:cs="Arial"/>
          <w:b/>
          <w:color w:val="000000"/>
          <w:kern w:val="24"/>
          <w:sz w:val="22"/>
          <w:szCs w:val="22"/>
        </w:rPr>
        <w:t>Ц</w:t>
      </w:r>
      <w:r w:rsidR="0011399B">
        <w:rPr>
          <w:rFonts w:ascii="Arial" w:eastAsia="Times New Roman" w:hAnsi="Arial" w:cs="Arial"/>
          <w:b/>
          <w:color w:val="000000"/>
          <w:kern w:val="24"/>
          <w:sz w:val="22"/>
          <w:szCs w:val="22"/>
        </w:rPr>
        <w:t xml:space="preserve">ели заключения корпоративного договора </w:t>
      </w:r>
      <w:r w:rsidR="0011399B" w:rsidRPr="0011399B">
        <w:rPr>
          <w:rFonts w:ascii="Arial" w:eastAsia="Times New Roman" w:hAnsi="Arial" w:cs="Arial"/>
          <w:b/>
          <w:color w:val="000000"/>
          <w:kern w:val="24"/>
          <w:sz w:val="22"/>
          <w:szCs w:val="22"/>
        </w:rPr>
        <w:t>и смешанных договоров</w:t>
      </w:r>
    </w:p>
    <w:p w:rsidR="00572D2B" w:rsidRDefault="00572D2B" w:rsidP="00572D2B">
      <w:pPr>
        <w:pStyle w:val="a8"/>
        <w:kinsoku w:val="0"/>
        <w:overflowPunct w:val="0"/>
        <w:contextualSpacing/>
        <w:textAlignment w:val="baseline"/>
        <w:rPr>
          <w:rFonts w:ascii="Arial" w:eastAsia="Times New Roman" w:hAnsi="Arial" w:cs="Arial"/>
          <w:b/>
          <w:color w:val="000000"/>
          <w:kern w:val="24"/>
          <w:sz w:val="22"/>
          <w:szCs w:val="22"/>
        </w:rPr>
      </w:pPr>
    </w:p>
    <w:p w:rsidR="00572D2B" w:rsidRDefault="00572D2B" w:rsidP="00572D2B">
      <w:pPr>
        <w:pStyle w:val="a8"/>
        <w:kinsoku w:val="0"/>
        <w:overflowPunct w:val="0"/>
        <w:contextualSpacing/>
        <w:textAlignment w:val="baseline"/>
        <w:rPr>
          <w:rFonts w:ascii="Arial" w:eastAsia="Times New Roman" w:hAnsi="Arial" w:cs="Arial"/>
          <w:b/>
          <w:color w:val="000000"/>
          <w:kern w:val="24"/>
          <w:sz w:val="22"/>
          <w:szCs w:val="22"/>
        </w:rPr>
      </w:pPr>
    </w:p>
    <w:p w:rsidR="00572D2B" w:rsidRPr="00016230" w:rsidRDefault="00572D2B" w:rsidP="00572D2B">
      <w:pPr>
        <w:pStyle w:val="a8"/>
        <w:kinsoku w:val="0"/>
        <w:overflowPunct w:val="0"/>
        <w:contextualSpacing/>
        <w:textAlignment w:val="baseline"/>
        <w:rPr>
          <w:rFonts w:ascii="Arial" w:hAnsi="Arial" w:cs="Arial"/>
          <w:b/>
          <w:sz w:val="22"/>
          <w:szCs w:val="22"/>
        </w:rPr>
      </w:pP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Повышение уровня корпоративн</w:t>
      </w:r>
      <w:r w:rsidR="007E5B94">
        <w:rPr>
          <w:rFonts w:ascii="Arial" w:hAnsi="Arial" w:cs="Arial"/>
          <w:bCs/>
          <w:color w:val="000000"/>
          <w:kern w:val="24"/>
          <w:sz w:val="22"/>
          <w:szCs w:val="22"/>
        </w:rPr>
        <w:t>ого контроля сторонами договора</w:t>
      </w:r>
      <w:r w:rsidRPr="00016230">
        <w:rPr>
          <w:rFonts w:ascii="Arial" w:hAnsi="Arial" w:cs="Arial"/>
          <w:bCs/>
          <w:color w:val="000000"/>
          <w:kern w:val="24"/>
          <w:sz w:val="22"/>
          <w:szCs w:val="22"/>
        </w:rPr>
        <w:t xml:space="preserve"> путем консолидированного о</w:t>
      </w:r>
      <w:r w:rsidR="007E5B94">
        <w:rPr>
          <w:rFonts w:ascii="Arial" w:hAnsi="Arial" w:cs="Arial"/>
          <w:bCs/>
          <w:color w:val="000000"/>
          <w:kern w:val="24"/>
          <w:sz w:val="22"/>
          <w:szCs w:val="22"/>
        </w:rPr>
        <w:t>существления корпоративных прав</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Установление участниками корпорации индив</w:t>
      </w:r>
      <w:r w:rsidR="007E5B94">
        <w:rPr>
          <w:rFonts w:ascii="Arial" w:hAnsi="Arial" w:cs="Arial"/>
          <w:bCs/>
          <w:color w:val="000000"/>
          <w:kern w:val="24"/>
          <w:sz w:val="22"/>
          <w:szCs w:val="22"/>
        </w:rPr>
        <w:t>идуальных правил взаимодействия</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 xml:space="preserve">Противодействие изменению сложившегося в обществе соотношения корпоративного контроля (смешанный договор) </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Прот</w:t>
      </w:r>
      <w:r w:rsidR="007E5B94">
        <w:rPr>
          <w:rFonts w:ascii="Arial" w:hAnsi="Arial" w:cs="Arial"/>
          <w:bCs/>
          <w:color w:val="000000"/>
          <w:kern w:val="24"/>
          <w:sz w:val="22"/>
          <w:szCs w:val="22"/>
        </w:rPr>
        <w:t>иводействие поглощению компании</w:t>
      </w:r>
      <w:r w:rsidRPr="00016230">
        <w:rPr>
          <w:rFonts w:ascii="Arial" w:hAnsi="Arial" w:cs="Arial"/>
          <w:bCs/>
          <w:color w:val="000000"/>
          <w:kern w:val="24"/>
          <w:sz w:val="22"/>
          <w:szCs w:val="22"/>
        </w:rPr>
        <w:t xml:space="preserve"> </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 xml:space="preserve">Создание условий для сделок M&amp;A в отношении общества. Соглашение о совместном отчуждении акций </w:t>
      </w:r>
      <w:r w:rsidR="007E5B94">
        <w:rPr>
          <w:rFonts w:ascii="Arial" w:hAnsi="Arial" w:cs="Arial"/>
          <w:bCs/>
          <w:color w:val="000000"/>
          <w:kern w:val="24"/>
          <w:sz w:val="22"/>
          <w:szCs w:val="22"/>
        </w:rPr>
        <w:t>(долей в уставном капитале ООО)</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Создание механизмов для разрешения тупиковых</w:t>
      </w:r>
      <w:r w:rsidR="007E5B94">
        <w:rPr>
          <w:rFonts w:ascii="Arial" w:hAnsi="Arial" w:cs="Arial"/>
          <w:bCs/>
          <w:color w:val="000000"/>
          <w:kern w:val="24"/>
          <w:sz w:val="22"/>
          <w:szCs w:val="22"/>
        </w:rPr>
        <w:t xml:space="preserve"> ситуаций (deadlock resolution)</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Обеспечение интереса третьих лиц — кредиторов общества и лиц, намеревающ</w:t>
      </w:r>
      <w:r w:rsidR="007E5B94">
        <w:rPr>
          <w:rFonts w:ascii="Arial" w:hAnsi="Arial" w:cs="Arial"/>
          <w:bCs/>
          <w:color w:val="000000"/>
          <w:kern w:val="24"/>
          <w:sz w:val="22"/>
          <w:szCs w:val="22"/>
        </w:rPr>
        <w:t>ихся стать участниками общества</w:t>
      </w:r>
    </w:p>
    <w:p w:rsidR="000978FA" w:rsidRPr="00016230" w:rsidRDefault="0011399B"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Корпоративный договор и устав: возможен ли конфликт</w:t>
      </w:r>
      <w:r w:rsidR="000978FA" w:rsidRPr="00016230">
        <w:rPr>
          <w:rFonts w:ascii="Arial" w:eastAsia="Times New Roman" w:hAnsi="Arial" w:cs="Arial"/>
          <w:b/>
          <w:color w:val="000000"/>
          <w:kern w:val="24"/>
          <w:sz w:val="22"/>
          <w:szCs w:val="22"/>
        </w:rPr>
        <w:t xml:space="preserve">? </w:t>
      </w:r>
    </w:p>
    <w:p w:rsidR="000978FA" w:rsidRPr="00016230" w:rsidRDefault="0011399B"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Третьи лица</w:t>
      </w:r>
      <w:r w:rsidR="000978FA" w:rsidRPr="00016230">
        <w:rPr>
          <w:rFonts w:ascii="Arial" w:eastAsia="Times New Roman" w:hAnsi="Arial" w:cs="Arial"/>
          <w:b/>
          <w:color w:val="000000"/>
          <w:kern w:val="24"/>
          <w:sz w:val="22"/>
          <w:szCs w:val="22"/>
        </w:rPr>
        <w:t xml:space="preserve"> — </w:t>
      </w:r>
      <w:r>
        <w:rPr>
          <w:rFonts w:ascii="Arial" w:eastAsia="Times New Roman" w:hAnsi="Arial" w:cs="Arial"/>
          <w:b/>
          <w:color w:val="000000"/>
          <w:kern w:val="24"/>
          <w:sz w:val="22"/>
          <w:szCs w:val="22"/>
        </w:rPr>
        <w:t>стороны договора, к которому применяются правила о корпоративном договоре</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 xml:space="preserve">Кредиторы общества </w:t>
      </w:r>
      <w:r w:rsidRPr="00016230">
        <w:rPr>
          <w:rFonts w:ascii="Arial" w:hAnsi="Arial" w:cs="Arial"/>
          <w:color w:val="000000"/>
          <w:kern w:val="24"/>
          <w:sz w:val="22"/>
          <w:szCs w:val="22"/>
        </w:rPr>
        <w:t xml:space="preserve">— </w:t>
      </w:r>
      <w:r w:rsidRPr="00016230">
        <w:rPr>
          <w:rFonts w:ascii="Arial" w:hAnsi="Arial" w:cs="Arial"/>
          <w:bCs/>
          <w:color w:val="000000"/>
          <w:kern w:val="24"/>
          <w:sz w:val="22"/>
          <w:szCs w:val="22"/>
        </w:rPr>
        <w:t>стороной договора с участниками общества.</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 xml:space="preserve">Потенциальные покупатели акций или долей в уставном капитале общества </w:t>
      </w:r>
      <w:r w:rsidRPr="00016230">
        <w:rPr>
          <w:rFonts w:ascii="Arial" w:hAnsi="Arial" w:cs="Arial"/>
          <w:color w:val="000000"/>
          <w:kern w:val="24"/>
          <w:sz w:val="22"/>
          <w:szCs w:val="22"/>
        </w:rPr>
        <w:t xml:space="preserve">— </w:t>
      </w:r>
      <w:r w:rsidRPr="00016230">
        <w:rPr>
          <w:rFonts w:ascii="Arial" w:hAnsi="Arial" w:cs="Arial"/>
          <w:bCs/>
          <w:color w:val="000000"/>
          <w:kern w:val="24"/>
          <w:sz w:val="22"/>
          <w:szCs w:val="22"/>
        </w:rPr>
        <w:t xml:space="preserve">стороной </w:t>
      </w:r>
      <w:r w:rsidR="007E5B94">
        <w:rPr>
          <w:rFonts w:ascii="Arial" w:hAnsi="Arial" w:cs="Arial"/>
          <w:bCs/>
          <w:color w:val="000000"/>
          <w:kern w:val="24"/>
          <w:sz w:val="22"/>
          <w:szCs w:val="22"/>
        </w:rPr>
        <w:t>договора с участниками общества</w:t>
      </w:r>
      <w:r w:rsidRPr="00016230">
        <w:rPr>
          <w:rFonts w:ascii="Arial" w:hAnsi="Arial" w:cs="Arial"/>
          <w:bCs/>
          <w:color w:val="000000"/>
          <w:kern w:val="24"/>
          <w:sz w:val="22"/>
          <w:szCs w:val="22"/>
        </w:rPr>
        <w:t xml:space="preserve"> </w:t>
      </w:r>
    </w:p>
    <w:p w:rsidR="000978FA" w:rsidRPr="00016230" w:rsidRDefault="0011399B"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Тупиковые ситуации и опционные механизмы их преодоления</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Признаки тупиковой ситуации</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Способы предотвращения и разрешения тупиковых ситуаций.</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 xml:space="preserve">Опцион </w:t>
      </w:r>
      <w:r w:rsidR="007E5B94">
        <w:rPr>
          <w:rFonts w:ascii="Arial" w:hAnsi="Arial" w:cs="Arial"/>
          <w:bCs/>
          <w:color w:val="000000"/>
          <w:kern w:val="24"/>
          <w:sz w:val="22"/>
          <w:szCs w:val="22"/>
        </w:rPr>
        <w:t>на заключение договора</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Опцион «колл» (сal-option)</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Опцион «пут» (put-option)</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Опцион выбора или «русская рулетка».</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«Техасская перестрелка» (texas shoot-out) или «Голландский аукцион» (dutch aucon)</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Заранее определенная цена</w:t>
      </w:r>
      <w:r w:rsidR="007E5B94">
        <w:rPr>
          <w:rFonts w:ascii="Arial" w:hAnsi="Arial" w:cs="Arial"/>
          <w:bCs/>
          <w:color w:val="000000"/>
          <w:kern w:val="24"/>
          <w:sz w:val="22"/>
          <w:szCs w:val="22"/>
        </w:rPr>
        <w:t>: варианты определения</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Пр</w:t>
      </w:r>
      <w:r w:rsidR="007E5B94">
        <w:rPr>
          <w:rFonts w:ascii="Arial" w:hAnsi="Arial" w:cs="Arial"/>
          <w:bCs/>
          <w:color w:val="000000"/>
          <w:kern w:val="24"/>
          <w:sz w:val="22"/>
          <w:szCs w:val="22"/>
        </w:rPr>
        <w:t>облемы исполнения опционов, в том числе</w:t>
      </w:r>
      <w:r w:rsidRPr="00016230">
        <w:rPr>
          <w:rFonts w:ascii="Arial" w:hAnsi="Arial" w:cs="Arial"/>
          <w:bCs/>
          <w:color w:val="000000"/>
          <w:kern w:val="24"/>
          <w:sz w:val="22"/>
          <w:szCs w:val="22"/>
        </w:rPr>
        <w:t xml:space="preserve"> и нот</w:t>
      </w:r>
      <w:r w:rsidR="007E5B94">
        <w:rPr>
          <w:rFonts w:ascii="Arial" w:hAnsi="Arial" w:cs="Arial"/>
          <w:bCs/>
          <w:color w:val="000000"/>
          <w:kern w:val="24"/>
          <w:sz w:val="22"/>
          <w:szCs w:val="22"/>
        </w:rPr>
        <w:t>ариальное удостоверение акцепта</w:t>
      </w:r>
    </w:p>
    <w:p w:rsidR="000978FA" w:rsidRPr="00016230" w:rsidRDefault="0011399B"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Примирительные (согласительные) процедуры</w:t>
      </w:r>
      <w:r w:rsidR="000978FA" w:rsidRPr="00016230">
        <w:rPr>
          <w:rFonts w:ascii="Arial" w:eastAsia="Times New Roman" w:hAnsi="Arial" w:cs="Arial"/>
          <w:b/>
          <w:color w:val="000000"/>
          <w:kern w:val="24"/>
          <w:sz w:val="22"/>
          <w:szCs w:val="22"/>
        </w:rPr>
        <w:t xml:space="preserve"> —</w:t>
      </w:r>
      <w:r>
        <w:rPr>
          <w:rFonts w:ascii="Arial" w:eastAsia="Times New Roman" w:hAnsi="Arial" w:cs="Arial"/>
          <w:b/>
          <w:color w:val="000000"/>
          <w:kern w:val="24"/>
          <w:sz w:val="22"/>
          <w:szCs w:val="22"/>
        </w:rPr>
        <w:t xml:space="preserve"> способ разрешения тупиковых ситуаций</w:t>
      </w:r>
    </w:p>
    <w:p w:rsidR="000978FA" w:rsidRPr="00016230" w:rsidRDefault="0011399B"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Распределение прибыли непропорционально размерам долей участников</w:t>
      </w:r>
      <w:r w:rsidR="00A758EE">
        <w:rPr>
          <w:rFonts w:ascii="Arial" w:eastAsia="Times New Roman" w:hAnsi="Arial" w:cs="Arial"/>
          <w:b/>
          <w:color w:val="000000"/>
          <w:kern w:val="24"/>
          <w:sz w:val="22"/>
          <w:szCs w:val="22"/>
        </w:rPr>
        <w:t xml:space="preserve"> или ООО по принципу коммандиты</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Особый порядок распределения прибыли между участниками обществ</w:t>
      </w:r>
      <w:r w:rsidR="007E5B94">
        <w:rPr>
          <w:rFonts w:ascii="Arial" w:hAnsi="Arial" w:cs="Arial"/>
          <w:bCs/>
          <w:color w:val="000000"/>
          <w:kern w:val="24"/>
          <w:sz w:val="22"/>
          <w:szCs w:val="22"/>
        </w:rPr>
        <w:t>а: специальные положения устава</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 xml:space="preserve">Положение о порядке распределения прибыли </w:t>
      </w:r>
      <w:r w:rsidR="007E5B94">
        <w:rPr>
          <w:rFonts w:ascii="Arial" w:hAnsi="Arial" w:cs="Arial"/>
          <w:bCs/>
          <w:color w:val="000000"/>
          <w:kern w:val="24"/>
          <w:sz w:val="22"/>
          <w:szCs w:val="22"/>
        </w:rPr>
        <w:t>между участниками общества</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Опцион «пут» в корпоративном договоре как инструмент обеспечения прав неконтролирующих участников</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Права и обязанности сторон по совместному отчуждению долей в уставном капитале общества</w:t>
      </w:r>
    </w:p>
    <w:p w:rsidR="000978FA" w:rsidRPr="00016230" w:rsidRDefault="00A758EE"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ООО с двумя директорами или принцип «двух ключей</w:t>
      </w:r>
      <w:r w:rsidR="000978FA" w:rsidRPr="00016230">
        <w:rPr>
          <w:rFonts w:ascii="Arial" w:eastAsia="Times New Roman" w:hAnsi="Arial" w:cs="Arial"/>
          <w:b/>
          <w:color w:val="000000"/>
          <w:kern w:val="24"/>
          <w:sz w:val="22"/>
          <w:szCs w:val="22"/>
        </w:rPr>
        <w:t>»</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Согласованное голосование при избрании членов совета директоров</w:t>
      </w:r>
    </w:p>
    <w:p w:rsidR="000978FA" w:rsidRPr="00016230" w:rsidRDefault="000978FA" w:rsidP="00223A2A">
      <w:pPr>
        <w:numPr>
          <w:ilvl w:val="0"/>
          <w:numId w:val="7"/>
        </w:numPr>
        <w:kinsoku w:val="0"/>
        <w:overflowPunct w:val="0"/>
        <w:contextualSpacing/>
        <w:textAlignment w:val="baseline"/>
        <w:rPr>
          <w:rFonts w:ascii="Arial" w:hAnsi="Arial" w:cs="Arial"/>
          <w:bCs/>
          <w:color w:val="000000"/>
          <w:kern w:val="24"/>
          <w:sz w:val="22"/>
          <w:szCs w:val="22"/>
        </w:rPr>
      </w:pPr>
      <w:r w:rsidRPr="00016230">
        <w:rPr>
          <w:rFonts w:ascii="Arial" w:hAnsi="Arial" w:cs="Arial"/>
          <w:bCs/>
          <w:color w:val="000000"/>
          <w:kern w:val="24"/>
          <w:sz w:val="22"/>
          <w:szCs w:val="22"/>
        </w:rPr>
        <w:t>Согласованное голосование при избрании членов единоличного исполнительного органа</w:t>
      </w:r>
    </w:p>
    <w:p w:rsidR="000978FA" w:rsidRPr="00016230" w:rsidRDefault="00A758EE"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Процедуры заключения и исполнения корпоративного договора</w:t>
      </w:r>
    </w:p>
    <w:p w:rsidR="000978FA" w:rsidRPr="00016230" w:rsidRDefault="00A758EE"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Оспаривание сделок, совершенных в нарушение корпоративного договора</w:t>
      </w:r>
    </w:p>
    <w:p w:rsidR="000978FA" w:rsidRPr="00016230" w:rsidRDefault="00A758EE" w:rsidP="00223A2A">
      <w:pPr>
        <w:pStyle w:val="a8"/>
        <w:numPr>
          <w:ilvl w:val="1"/>
          <w:numId w:val="6"/>
        </w:numPr>
        <w:kinsoku w:val="0"/>
        <w:overflowPunct w:val="0"/>
        <w:contextualSpacing/>
        <w:textAlignment w:val="baseline"/>
        <w:rPr>
          <w:rFonts w:ascii="Arial" w:eastAsia="Times New Roman" w:hAnsi="Arial" w:cs="Arial"/>
          <w:b/>
          <w:color w:val="000000"/>
          <w:kern w:val="24"/>
          <w:sz w:val="22"/>
          <w:szCs w:val="22"/>
        </w:rPr>
      </w:pPr>
      <w:r>
        <w:rPr>
          <w:rFonts w:ascii="Arial" w:eastAsia="Times New Roman" w:hAnsi="Arial" w:cs="Arial"/>
          <w:b/>
          <w:color w:val="000000"/>
          <w:kern w:val="24"/>
          <w:sz w:val="22"/>
          <w:szCs w:val="22"/>
        </w:rPr>
        <w:t>Обеспечение обязательств по корпоративному договору</w:t>
      </w:r>
    </w:p>
    <w:p w:rsidR="00A758EE" w:rsidRDefault="00A758EE" w:rsidP="000978FA">
      <w:pPr>
        <w:pStyle w:val="a8"/>
        <w:kinsoku w:val="0"/>
        <w:overflowPunct w:val="0"/>
        <w:spacing w:line="276" w:lineRule="auto"/>
        <w:ind w:left="644"/>
        <w:contextualSpacing/>
        <w:textAlignment w:val="baseline"/>
        <w:rPr>
          <w:rFonts w:ascii="Arial" w:hAnsi="Arial" w:cs="Arial"/>
          <w:b/>
          <w:sz w:val="22"/>
          <w:szCs w:val="22"/>
        </w:rPr>
      </w:pPr>
    </w:p>
    <w:p w:rsidR="000978FA" w:rsidRPr="00223A2A" w:rsidRDefault="000978FA" w:rsidP="00A758EE">
      <w:pPr>
        <w:pStyle w:val="a8"/>
        <w:kinsoku w:val="0"/>
        <w:overflowPunct w:val="0"/>
        <w:spacing w:line="276" w:lineRule="auto"/>
        <w:ind w:left="0"/>
        <w:contextualSpacing/>
        <w:jc w:val="both"/>
        <w:textAlignment w:val="baseline"/>
        <w:rPr>
          <w:rFonts w:ascii="Arial" w:hAnsi="Arial" w:cs="Arial"/>
          <w:b/>
          <w:i/>
          <w:sz w:val="22"/>
          <w:szCs w:val="22"/>
        </w:rPr>
      </w:pPr>
      <w:r w:rsidRPr="00223A2A">
        <w:rPr>
          <w:rFonts w:ascii="Arial" w:hAnsi="Arial" w:cs="Arial"/>
          <w:b/>
          <w:i/>
          <w:sz w:val="22"/>
          <w:szCs w:val="22"/>
        </w:rPr>
        <w:t>Слушат</w:t>
      </w:r>
      <w:r w:rsidR="00A758EE" w:rsidRPr="00223A2A">
        <w:rPr>
          <w:rFonts w:ascii="Arial" w:hAnsi="Arial" w:cs="Arial"/>
          <w:b/>
          <w:i/>
          <w:sz w:val="22"/>
          <w:szCs w:val="22"/>
        </w:rPr>
        <w:t xml:space="preserve">ели получают материалы </w:t>
      </w:r>
      <w:r w:rsidRPr="00223A2A">
        <w:rPr>
          <w:rFonts w:ascii="Arial" w:hAnsi="Arial" w:cs="Arial"/>
          <w:b/>
          <w:i/>
          <w:sz w:val="22"/>
          <w:szCs w:val="22"/>
        </w:rPr>
        <w:t>в виде слайдов и могут на льготных условиях приобрести:</w:t>
      </w:r>
    </w:p>
    <w:p w:rsidR="00A758EE" w:rsidRPr="00223A2A" w:rsidRDefault="00A758EE" w:rsidP="00223A2A">
      <w:pPr>
        <w:numPr>
          <w:ilvl w:val="2"/>
          <w:numId w:val="8"/>
        </w:numPr>
        <w:rPr>
          <w:rFonts w:ascii="Arial" w:hAnsi="Arial" w:cs="Arial"/>
          <w:bCs/>
          <w:i/>
          <w:color w:val="002060"/>
          <w:sz w:val="22"/>
          <w:szCs w:val="22"/>
          <w:lang w:eastAsia="x-none"/>
        </w:rPr>
      </w:pPr>
      <w:bookmarkStart w:id="4" w:name="_Hlk495905208"/>
      <w:r w:rsidRPr="00223A2A">
        <w:rPr>
          <w:rFonts w:ascii="Arial" w:hAnsi="Arial" w:cs="Arial"/>
          <w:i/>
          <w:sz w:val="22"/>
          <w:szCs w:val="22"/>
        </w:rPr>
        <w:t>Положение о порядке определения сделок, совершаемых в рамках обычной хозяйственной деятельности общества, и сделок, выходящих за ее пределы</w:t>
      </w:r>
    </w:p>
    <w:p w:rsidR="000978FA" w:rsidRPr="00223A2A" w:rsidRDefault="000978FA" w:rsidP="00223A2A">
      <w:pPr>
        <w:numPr>
          <w:ilvl w:val="2"/>
          <w:numId w:val="8"/>
        </w:numPr>
        <w:rPr>
          <w:rFonts w:ascii="Arial" w:hAnsi="Arial" w:cs="Arial"/>
          <w:i/>
          <w:sz w:val="22"/>
          <w:szCs w:val="22"/>
          <w:lang w:eastAsia="x-none"/>
        </w:rPr>
      </w:pPr>
      <w:r w:rsidRPr="00223A2A">
        <w:rPr>
          <w:rFonts w:ascii="Arial" w:hAnsi="Arial" w:cs="Arial"/>
          <w:i/>
          <w:sz w:val="22"/>
          <w:szCs w:val="22"/>
          <w:lang w:eastAsia="x-none"/>
        </w:rPr>
        <w:t>Уставы (6 вариантов) и корпоративные договоры (5 вариантов) для ООО с двумя исполнительными директорами;</w:t>
      </w:r>
      <w:bookmarkEnd w:id="4"/>
    </w:p>
    <w:p w:rsidR="000978FA" w:rsidRPr="00223A2A" w:rsidRDefault="000978FA" w:rsidP="00223A2A">
      <w:pPr>
        <w:numPr>
          <w:ilvl w:val="2"/>
          <w:numId w:val="8"/>
        </w:numPr>
        <w:rPr>
          <w:rFonts w:ascii="Arial" w:hAnsi="Arial" w:cs="Arial"/>
          <w:b/>
          <w:bCs/>
          <w:i/>
          <w:color w:val="002060"/>
          <w:sz w:val="22"/>
          <w:szCs w:val="22"/>
          <w:lang w:eastAsia="x-none"/>
        </w:rPr>
      </w:pPr>
      <w:r w:rsidRPr="00223A2A">
        <w:rPr>
          <w:rFonts w:ascii="Arial" w:hAnsi="Arial" w:cs="Arial"/>
          <w:i/>
          <w:sz w:val="22"/>
          <w:szCs w:val="22"/>
          <w:lang w:eastAsia="x-none"/>
        </w:rPr>
        <w:t>Уставы (4 варианта), корпоративные договоры (2 варианта) для ООО с распределением прибыли не пропорционально размерам долей участников</w:t>
      </w:r>
    </w:p>
    <w:p w:rsidR="00223A2A" w:rsidRPr="00223A2A" w:rsidRDefault="00223A2A" w:rsidP="00223A2A">
      <w:pPr>
        <w:jc w:val="both"/>
        <w:rPr>
          <w:rFonts w:ascii="Arial" w:hAnsi="Arial" w:cs="Arial"/>
          <w:b/>
          <w:i/>
          <w:sz w:val="22"/>
          <w:szCs w:val="22"/>
        </w:rPr>
      </w:pPr>
    </w:p>
    <w:p w:rsidR="00223A2A" w:rsidRPr="00223A2A" w:rsidRDefault="00223A2A" w:rsidP="00223A2A">
      <w:pPr>
        <w:jc w:val="both"/>
        <w:rPr>
          <w:rFonts w:ascii="Arial" w:hAnsi="Arial" w:cs="Arial"/>
          <w:i/>
          <w:sz w:val="22"/>
          <w:szCs w:val="22"/>
        </w:rPr>
      </w:pPr>
      <w:r w:rsidRPr="00223A2A">
        <w:rPr>
          <w:rFonts w:ascii="Arial" w:hAnsi="Arial" w:cs="Arial"/>
          <w:b/>
          <w:i/>
          <w:sz w:val="22"/>
          <w:szCs w:val="22"/>
        </w:rPr>
        <w:t xml:space="preserve">Время проведения: </w:t>
      </w:r>
      <w:r w:rsidRPr="00223A2A">
        <w:rPr>
          <w:rFonts w:ascii="Arial" w:hAnsi="Arial" w:cs="Arial"/>
          <w:i/>
          <w:sz w:val="22"/>
          <w:szCs w:val="22"/>
        </w:rPr>
        <w:t xml:space="preserve">с 10.00 до 17.00 </w:t>
      </w:r>
    </w:p>
    <w:p w:rsidR="00223A2A" w:rsidRPr="00223A2A" w:rsidRDefault="00223A2A" w:rsidP="00223A2A">
      <w:pPr>
        <w:jc w:val="both"/>
        <w:rPr>
          <w:rFonts w:ascii="Arial" w:hAnsi="Arial" w:cs="Arial"/>
          <w:b/>
          <w:i/>
          <w:sz w:val="22"/>
          <w:szCs w:val="22"/>
        </w:rPr>
      </w:pPr>
      <w:r w:rsidRPr="00223A2A">
        <w:rPr>
          <w:rFonts w:ascii="Arial" w:hAnsi="Arial" w:cs="Arial"/>
          <w:b/>
          <w:i/>
          <w:sz w:val="22"/>
          <w:szCs w:val="22"/>
        </w:rPr>
        <w:t>Место проведения</w:t>
      </w:r>
      <w:r w:rsidRPr="00223A2A">
        <w:rPr>
          <w:rFonts w:ascii="Arial" w:hAnsi="Arial" w:cs="Arial"/>
          <w:i/>
          <w:sz w:val="22"/>
          <w:szCs w:val="22"/>
        </w:rPr>
        <w:t>: г. Самара, пр. Карла Маркса, 201Б, бизнес-центр «БАШНЯ».</w:t>
      </w:r>
    </w:p>
    <w:p w:rsidR="00223A2A" w:rsidRPr="00223A2A" w:rsidRDefault="00223A2A" w:rsidP="00223A2A">
      <w:pPr>
        <w:jc w:val="both"/>
        <w:rPr>
          <w:rFonts w:ascii="Arial" w:hAnsi="Arial" w:cs="Arial"/>
          <w:i/>
          <w:sz w:val="22"/>
          <w:szCs w:val="22"/>
        </w:rPr>
      </w:pPr>
      <w:r w:rsidRPr="00223A2A">
        <w:rPr>
          <w:rFonts w:ascii="Arial" w:hAnsi="Arial" w:cs="Arial"/>
          <w:b/>
          <w:i/>
          <w:sz w:val="22"/>
          <w:szCs w:val="22"/>
        </w:rPr>
        <w:t xml:space="preserve">Стоимость участия: </w:t>
      </w:r>
      <w:r w:rsidRPr="00223A2A">
        <w:rPr>
          <w:rFonts w:ascii="Arial" w:hAnsi="Arial" w:cs="Arial"/>
          <w:i/>
          <w:sz w:val="22"/>
          <w:szCs w:val="22"/>
        </w:rPr>
        <w:t xml:space="preserve"> </w:t>
      </w:r>
      <w:r w:rsidRPr="00223A2A">
        <w:rPr>
          <w:rFonts w:ascii="Arial" w:hAnsi="Arial" w:cs="Arial"/>
          <w:b/>
          <w:i/>
          <w:sz w:val="22"/>
          <w:szCs w:val="22"/>
        </w:rPr>
        <w:t>9 200</w:t>
      </w:r>
      <w:r w:rsidRPr="00223A2A">
        <w:rPr>
          <w:rFonts w:ascii="Arial" w:hAnsi="Arial" w:cs="Arial"/>
          <w:i/>
          <w:sz w:val="22"/>
          <w:szCs w:val="22"/>
        </w:rPr>
        <w:t xml:space="preserve"> руб (НДС не облагается)</w:t>
      </w:r>
    </w:p>
    <w:p w:rsidR="00223A2A" w:rsidRPr="00223A2A" w:rsidRDefault="00223A2A" w:rsidP="00223A2A">
      <w:pPr>
        <w:jc w:val="both"/>
        <w:rPr>
          <w:rFonts w:ascii="Arial" w:hAnsi="Arial" w:cs="Arial"/>
          <w:i/>
          <w:sz w:val="22"/>
          <w:szCs w:val="22"/>
        </w:rPr>
      </w:pPr>
      <w:r w:rsidRPr="00223A2A">
        <w:rPr>
          <w:rFonts w:ascii="Arial" w:hAnsi="Arial" w:cs="Arial"/>
          <w:i/>
          <w:sz w:val="22"/>
          <w:szCs w:val="22"/>
        </w:rPr>
        <w:t>При участии</w:t>
      </w:r>
      <w:r w:rsidRPr="00223A2A">
        <w:rPr>
          <w:rFonts w:ascii="Arial" w:hAnsi="Arial" w:cs="Arial"/>
          <w:b/>
          <w:i/>
          <w:sz w:val="22"/>
          <w:szCs w:val="22"/>
        </w:rPr>
        <w:t xml:space="preserve"> 2-х специалистов </w:t>
      </w:r>
      <w:r w:rsidRPr="00223A2A">
        <w:rPr>
          <w:rFonts w:ascii="Arial" w:hAnsi="Arial" w:cs="Arial"/>
          <w:i/>
          <w:sz w:val="22"/>
          <w:szCs w:val="22"/>
        </w:rPr>
        <w:t>предоставляется</w:t>
      </w:r>
      <w:r w:rsidRPr="00223A2A">
        <w:rPr>
          <w:rFonts w:ascii="Arial" w:hAnsi="Arial" w:cs="Arial"/>
          <w:b/>
          <w:i/>
          <w:sz w:val="22"/>
          <w:szCs w:val="22"/>
        </w:rPr>
        <w:t xml:space="preserve"> 10%-ная </w:t>
      </w:r>
      <w:r w:rsidRPr="00223A2A">
        <w:rPr>
          <w:rFonts w:ascii="Arial" w:hAnsi="Arial" w:cs="Arial"/>
          <w:i/>
          <w:sz w:val="22"/>
          <w:szCs w:val="22"/>
        </w:rPr>
        <w:t>скидка.</w:t>
      </w:r>
    </w:p>
    <w:p w:rsidR="00223A2A" w:rsidRPr="00223A2A" w:rsidRDefault="00223A2A" w:rsidP="00223A2A">
      <w:pPr>
        <w:jc w:val="both"/>
        <w:rPr>
          <w:rFonts w:ascii="Arial" w:hAnsi="Arial" w:cs="Arial"/>
          <w:i/>
          <w:sz w:val="22"/>
          <w:szCs w:val="22"/>
        </w:rPr>
      </w:pPr>
      <w:r w:rsidRPr="00223A2A">
        <w:rPr>
          <w:rFonts w:ascii="Arial" w:hAnsi="Arial" w:cs="Arial"/>
          <w:b/>
          <w:i/>
          <w:sz w:val="22"/>
          <w:szCs w:val="22"/>
        </w:rPr>
        <w:t>В стоимость включены</w:t>
      </w:r>
      <w:r w:rsidRPr="00223A2A">
        <w:rPr>
          <w:rFonts w:ascii="Arial" w:hAnsi="Arial" w:cs="Arial"/>
          <w:i/>
          <w:sz w:val="22"/>
          <w:szCs w:val="22"/>
        </w:rPr>
        <w:t xml:space="preserve"> раздаточный материал по теме семинара, обед, выдается именной сертификат об участии.</w:t>
      </w:r>
    </w:p>
    <w:bookmarkEnd w:id="3"/>
    <w:p w:rsidR="00223A2A" w:rsidRPr="00223A2A" w:rsidRDefault="00223A2A" w:rsidP="00223A2A">
      <w:pPr>
        <w:ind w:left="1495"/>
        <w:rPr>
          <w:rFonts w:ascii="Arial" w:hAnsi="Arial" w:cs="Arial"/>
          <w:b/>
          <w:bCs/>
          <w:color w:val="002060"/>
          <w:sz w:val="22"/>
          <w:szCs w:val="22"/>
          <w:lang w:eastAsia="x-none"/>
        </w:rPr>
      </w:pPr>
    </w:p>
    <w:sectPr w:rsidR="00223A2A" w:rsidRPr="00223A2A" w:rsidSect="00581716">
      <w:pgSz w:w="11906" w:h="16838"/>
      <w:pgMar w:top="0"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2FB2"/>
    <w:multiLevelType w:val="hybridMultilevel"/>
    <w:tmpl w:val="741A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66900"/>
    <w:multiLevelType w:val="hybridMultilevel"/>
    <w:tmpl w:val="C9B4868A"/>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56B4321"/>
    <w:multiLevelType w:val="hybridMultilevel"/>
    <w:tmpl w:val="260A9C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5D0811"/>
    <w:multiLevelType w:val="hybridMultilevel"/>
    <w:tmpl w:val="4A6EBBB8"/>
    <w:lvl w:ilvl="0" w:tplc="04190009">
      <w:start w:val="1"/>
      <w:numFmt w:val="bullet"/>
      <w:lvlText w:val=""/>
      <w:lvlJc w:val="left"/>
      <w:pPr>
        <w:ind w:left="720" w:hanging="360"/>
      </w:pPr>
      <w:rPr>
        <w:rFonts w:ascii="Wingdings" w:hAnsi="Wingdings" w:hint="default"/>
      </w:rPr>
    </w:lvl>
    <w:lvl w:ilvl="1" w:tplc="04190009">
      <w:start w:val="1"/>
      <w:numFmt w:val="bullet"/>
      <w:lvlText w:val=""/>
      <w:lvlJc w:val="left"/>
      <w:pPr>
        <w:ind w:left="644"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6506C6"/>
    <w:multiLevelType w:val="hybridMultilevel"/>
    <w:tmpl w:val="0EBCC5FE"/>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5D9247C"/>
    <w:multiLevelType w:val="hybridMultilevel"/>
    <w:tmpl w:val="C4CC7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1495"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8C7A90"/>
    <w:multiLevelType w:val="hybridMultilevel"/>
    <w:tmpl w:val="767CEE62"/>
    <w:lvl w:ilvl="0" w:tplc="04190005">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7B0089"/>
    <w:multiLevelType w:val="hybridMultilevel"/>
    <w:tmpl w:val="4A5C0DF0"/>
    <w:lvl w:ilvl="0" w:tplc="04190005">
      <w:start w:val="1"/>
      <w:numFmt w:val="bullet"/>
      <w:lvlText w:val=""/>
      <w:lvlJc w:val="left"/>
      <w:pPr>
        <w:tabs>
          <w:tab w:val="num" w:pos="1004"/>
        </w:tabs>
        <w:ind w:left="1004" w:hanging="360"/>
      </w:pPr>
      <w:rPr>
        <w:rFonts w:ascii="Wingdings" w:hAnsi="Wingdings" w:hint="default"/>
      </w:rPr>
    </w:lvl>
    <w:lvl w:ilvl="1" w:tplc="5CEC47BC" w:tentative="1">
      <w:start w:val="1"/>
      <w:numFmt w:val="bullet"/>
      <w:lvlText w:val=""/>
      <w:lvlJc w:val="left"/>
      <w:pPr>
        <w:tabs>
          <w:tab w:val="num" w:pos="1724"/>
        </w:tabs>
        <w:ind w:left="1724" w:hanging="360"/>
      </w:pPr>
      <w:rPr>
        <w:rFonts w:ascii="Wingdings" w:hAnsi="Wingdings" w:hint="default"/>
      </w:rPr>
    </w:lvl>
    <w:lvl w:ilvl="2" w:tplc="50485C74" w:tentative="1">
      <w:start w:val="1"/>
      <w:numFmt w:val="bullet"/>
      <w:lvlText w:val=""/>
      <w:lvlJc w:val="left"/>
      <w:pPr>
        <w:tabs>
          <w:tab w:val="num" w:pos="2444"/>
        </w:tabs>
        <w:ind w:left="2444" w:hanging="360"/>
      </w:pPr>
      <w:rPr>
        <w:rFonts w:ascii="Wingdings" w:hAnsi="Wingdings" w:hint="default"/>
      </w:rPr>
    </w:lvl>
    <w:lvl w:ilvl="3" w:tplc="27204EEC" w:tentative="1">
      <w:start w:val="1"/>
      <w:numFmt w:val="bullet"/>
      <w:lvlText w:val=""/>
      <w:lvlJc w:val="left"/>
      <w:pPr>
        <w:tabs>
          <w:tab w:val="num" w:pos="3164"/>
        </w:tabs>
        <w:ind w:left="3164" w:hanging="360"/>
      </w:pPr>
      <w:rPr>
        <w:rFonts w:ascii="Wingdings" w:hAnsi="Wingdings" w:hint="default"/>
      </w:rPr>
    </w:lvl>
    <w:lvl w:ilvl="4" w:tplc="42041242" w:tentative="1">
      <w:start w:val="1"/>
      <w:numFmt w:val="bullet"/>
      <w:lvlText w:val=""/>
      <w:lvlJc w:val="left"/>
      <w:pPr>
        <w:tabs>
          <w:tab w:val="num" w:pos="3884"/>
        </w:tabs>
        <w:ind w:left="3884" w:hanging="360"/>
      </w:pPr>
      <w:rPr>
        <w:rFonts w:ascii="Wingdings" w:hAnsi="Wingdings" w:hint="default"/>
      </w:rPr>
    </w:lvl>
    <w:lvl w:ilvl="5" w:tplc="BA92E23E" w:tentative="1">
      <w:start w:val="1"/>
      <w:numFmt w:val="bullet"/>
      <w:lvlText w:val=""/>
      <w:lvlJc w:val="left"/>
      <w:pPr>
        <w:tabs>
          <w:tab w:val="num" w:pos="4604"/>
        </w:tabs>
        <w:ind w:left="4604" w:hanging="360"/>
      </w:pPr>
      <w:rPr>
        <w:rFonts w:ascii="Wingdings" w:hAnsi="Wingdings" w:hint="default"/>
      </w:rPr>
    </w:lvl>
    <w:lvl w:ilvl="6" w:tplc="128490F4" w:tentative="1">
      <w:start w:val="1"/>
      <w:numFmt w:val="bullet"/>
      <w:lvlText w:val=""/>
      <w:lvlJc w:val="left"/>
      <w:pPr>
        <w:tabs>
          <w:tab w:val="num" w:pos="5324"/>
        </w:tabs>
        <w:ind w:left="5324" w:hanging="360"/>
      </w:pPr>
      <w:rPr>
        <w:rFonts w:ascii="Wingdings" w:hAnsi="Wingdings" w:hint="default"/>
      </w:rPr>
    </w:lvl>
    <w:lvl w:ilvl="7" w:tplc="83389268" w:tentative="1">
      <w:start w:val="1"/>
      <w:numFmt w:val="bullet"/>
      <w:lvlText w:val=""/>
      <w:lvlJc w:val="left"/>
      <w:pPr>
        <w:tabs>
          <w:tab w:val="num" w:pos="6044"/>
        </w:tabs>
        <w:ind w:left="6044" w:hanging="360"/>
      </w:pPr>
      <w:rPr>
        <w:rFonts w:ascii="Wingdings" w:hAnsi="Wingdings" w:hint="default"/>
      </w:rPr>
    </w:lvl>
    <w:lvl w:ilvl="8" w:tplc="04CED412" w:tentative="1">
      <w:start w:val="1"/>
      <w:numFmt w:val="bullet"/>
      <w:lvlText w:val=""/>
      <w:lvlJc w:val="left"/>
      <w:pPr>
        <w:tabs>
          <w:tab w:val="num" w:pos="6764"/>
        </w:tabs>
        <w:ind w:left="6764" w:hanging="360"/>
      </w:pPr>
      <w:rPr>
        <w:rFonts w:ascii="Wingdings" w:hAnsi="Wingdings" w:hint="default"/>
      </w:rPr>
    </w:lvl>
  </w:abstractNum>
  <w:abstractNum w:abstractNumId="8">
    <w:nsid w:val="66673C0F"/>
    <w:multiLevelType w:val="hybridMultilevel"/>
    <w:tmpl w:val="71AAF5FC"/>
    <w:lvl w:ilvl="0" w:tplc="04190009">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1"/>
  </w:num>
  <w:num w:numId="5">
    <w:abstractNumId w:val="8"/>
  </w:num>
  <w:num w:numId="6">
    <w:abstractNumId w:val="3"/>
  </w:num>
  <w:num w:numId="7">
    <w:abstractNumId w:val="7"/>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4FA"/>
    <w:rsid w:val="00016230"/>
    <w:rsid w:val="000168AB"/>
    <w:rsid w:val="00031ACA"/>
    <w:rsid w:val="000326A9"/>
    <w:rsid w:val="00045347"/>
    <w:rsid w:val="00072FA1"/>
    <w:rsid w:val="00086E4F"/>
    <w:rsid w:val="00086FFF"/>
    <w:rsid w:val="000912C3"/>
    <w:rsid w:val="00091E55"/>
    <w:rsid w:val="000978FA"/>
    <w:rsid w:val="000C6606"/>
    <w:rsid w:val="000C7488"/>
    <w:rsid w:val="000F1999"/>
    <w:rsid w:val="00104200"/>
    <w:rsid w:val="00106F02"/>
    <w:rsid w:val="00111849"/>
    <w:rsid w:val="00112923"/>
    <w:rsid w:val="0011399B"/>
    <w:rsid w:val="001142D8"/>
    <w:rsid w:val="001179B3"/>
    <w:rsid w:val="001266D2"/>
    <w:rsid w:val="001307DD"/>
    <w:rsid w:val="00146405"/>
    <w:rsid w:val="001515AB"/>
    <w:rsid w:val="00180527"/>
    <w:rsid w:val="00193939"/>
    <w:rsid w:val="001A3C60"/>
    <w:rsid w:val="001B1682"/>
    <w:rsid w:val="001D303E"/>
    <w:rsid w:val="001E5783"/>
    <w:rsid w:val="00210E02"/>
    <w:rsid w:val="00223056"/>
    <w:rsid w:val="00223A2A"/>
    <w:rsid w:val="00243851"/>
    <w:rsid w:val="002662BC"/>
    <w:rsid w:val="00293773"/>
    <w:rsid w:val="002A2CCE"/>
    <w:rsid w:val="002A6AF8"/>
    <w:rsid w:val="002B256A"/>
    <w:rsid w:val="002B6B43"/>
    <w:rsid w:val="002B73A2"/>
    <w:rsid w:val="002E51BC"/>
    <w:rsid w:val="002E7A66"/>
    <w:rsid w:val="002F6419"/>
    <w:rsid w:val="00304685"/>
    <w:rsid w:val="00310A7E"/>
    <w:rsid w:val="00332CEA"/>
    <w:rsid w:val="003563C8"/>
    <w:rsid w:val="00387E06"/>
    <w:rsid w:val="00396D9E"/>
    <w:rsid w:val="003A18C4"/>
    <w:rsid w:val="003B1857"/>
    <w:rsid w:val="004142DE"/>
    <w:rsid w:val="00424EF4"/>
    <w:rsid w:val="00434E22"/>
    <w:rsid w:val="00461472"/>
    <w:rsid w:val="004631B1"/>
    <w:rsid w:val="00466B30"/>
    <w:rsid w:val="00474D92"/>
    <w:rsid w:val="00485165"/>
    <w:rsid w:val="00493924"/>
    <w:rsid w:val="004A3069"/>
    <w:rsid w:val="004A4EC8"/>
    <w:rsid w:val="004B207F"/>
    <w:rsid w:val="004B65DB"/>
    <w:rsid w:val="004C0402"/>
    <w:rsid w:val="004D040D"/>
    <w:rsid w:val="004E2BD9"/>
    <w:rsid w:val="004F184A"/>
    <w:rsid w:val="004F7CD9"/>
    <w:rsid w:val="0051433C"/>
    <w:rsid w:val="00525871"/>
    <w:rsid w:val="00561957"/>
    <w:rsid w:val="00572D2B"/>
    <w:rsid w:val="005774CC"/>
    <w:rsid w:val="00577B10"/>
    <w:rsid w:val="00581716"/>
    <w:rsid w:val="00596C79"/>
    <w:rsid w:val="00596CD2"/>
    <w:rsid w:val="005A75FF"/>
    <w:rsid w:val="005C72C4"/>
    <w:rsid w:val="005C7DF5"/>
    <w:rsid w:val="005E7052"/>
    <w:rsid w:val="00604FEA"/>
    <w:rsid w:val="00622007"/>
    <w:rsid w:val="00627326"/>
    <w:rsid w:val="00641CB4"/>
    <w:rsid w:val="0064385E"/>
    <w:rsid w:val="006448DE"/>
    <w:rsid w:val="006825CE"/>
    <w:rsid w:val="00691474"/>
    <w:rsid w:val="006935F8"/>
    <w:rsid w:val="006960C9"/>
    <w:rsid w:val="006A2FF5"/>
    <w:rsid w:val="006D1583"/>
    <w:rsid w:val="006E6844"/>
    <w:rsid w:val="006F5F9D"/>
    <w:rsid w:val="00703362"/>
    <w:rsid w:val="007133D4"/>
    <w:rsid w:val="00716F88"/>
    <w:rsid w:val="0075573B"/>
    <w:rsid w:val="007564B3"/>
    <w:rsid w:val="007705B4"/>
    <w:rsid w:val="007745C5"/>
    <w:rsid w:val="00780800"/>
    <w:rsid w:val="0078391D"/>
    <w:rsid w:val="00794237"/>
    <w:rsid w:val="007951AD"/>
    <w:rsid w:val="007A0F31"/>
    <w:rsid w:val="007C4246"/>
    <w:rsid w:val="007D5F3E"/>
    <w:rsid w:val="007D61E2"/>
    <w:rsid w:val="007D7025"/>
    <w:rsid w:val="007E37DF"/>
    <w:rsid w:val="007E5509"/>
    <w:rsid w:val="007E5B94"/>
    <w:rsid w:val="008269FA"/>
    <w:rsid w:val="00843B8B"/>
    <w:rsid w:val="00866BE8"/>
    <w:rsid w:val="00871809"/>
    <w:rsid w:val="008738D7"/>
    <w:rsid w:val="008C36A0"/>
    <w:rsid w:val="008D38B5"/>
    <w:rsid w:val="008E40B5"/>
    <w:rsid w:val="008F7FFE"/>
    <w:rsid w:val="0091401D"/>
    <w:rsid w:val="00921918"/>
    <w:rsid w:val="009315D9"/>
    <w:rsid w:val="00946090"/>
    <w:rsid w:val="0097318D"/>
    <w:rsid w:val="00994437"/>
    <w:rsid w:val="009A1AD7"/>
    <w:rsid w:val="009A5E4A"/>
    <w:rsid w:val="009A6F9F"/>
    <w:rsid w:val="009C0286"/>
    <w:rsid w:val="009C0665"/>
    <w:rsid w:val="009D2260"/>
    <w:rsid w:val="009E25A1"/>
    <w:rsid w:val="009E5BD2"/>
    <w:rsid w:val="00A01BDA"/>
    <w:rsid w:val="00A02A0B"/>
    <w:rsid w:val="00A1311E"/>
    <w:rsid w:val="00A23082"/>
    <w:rsid w:val="00A7189A"/>
    <w:rsid w:val="00A758EE"/>
    <w:rsid w:val="00A9031B"/>
    <w:rsid w:val="00A915DD"/>
    <w:rsid w:val="00A93BBF"/>
    <w:rsid w:val="00A9656C"/>
    <w:rsid w:val="00A96F4A"/>
    <w:rsid w:val="00AB4EFC"/>
    <w:rsid w:val="00AB7128"/>
    <w:rsid w:val="00AC4AA1"/>
    <w:rsid w:val="00AC6091"/>
    <w:rsid w:val="00AE34E7"/>
    <w:rsid w:val="00AF600D"/>
    <w:rsid w:val="00B174EC"/>
    <w:rsid w:val="00B307A3"/>
    <w:rsid w:val="00B615AA"/>
    <w:rsid w:val="00B70432"/>
    <w:rsid w:val="00B73435"/>
    <w:rsid w:val="00B763A3"/>
    <w:rsid w:val="00B86A2B"/>
    <w:rsid w:val="00B970B6"/>
    <w:rsid w:val="00BB4DB6"/>
    <w:rsid w:val="00BC38C8"/>
    <w:rsid w:val="00BD7D9B"/>
    <w:rsid w:val="00BE779F"/>
    <w:rsid w:val="00BF2393"/>
    <w:rsid w:val="00BF46FF"/>
    <w:rsid w:val="00C00482"/>
    <w:rsid w:val="00C16884"/>
    <w:rsid w:val="00C258BB"/>
    <w:rsid w:val="00C33E70"/>
    <w:rsid w:val="00C34405"/>
    <w:rsid w:val="00C413F5"/>
    <w:rsid w:val="00C43FC0"/>
    <w:rsid w:val="00C5418A"/>
    <w:rsid w:val="00C63FE8"/>
    <w:rsid w:val="00C70BB2"/>
    <w:rsid w:val="00CA4311"/>
    <w:rsid w:val="00CA6C0E"/>
    <w:rsid w:val="00CC3EA4"/>
    <w:rsid w:val="00CD36F2"/>
    <w:rsid w:val="00CE46ED"/>
    <w:rsid w:val="00CE666E"/>
    <w:rsid w:val="00CF2138"/>
    <w:rsid w:val="00CF6ADE"/>
    <w:rsid w:val="00D00764"/>
    <w:rsid w:val="00D21E97"/>
    <w:rsid w:val="00D2642F"/>
    <w:rsid w:val="00D36706"/>
    <w:rsid w:val="00D446FE"/>
    <w:rsid w:val="00D613AC"/>
    <w:rsid w:val="00D726D0"/>
    <w:rsid w:val="00D879F9"/>
    <w:rsid w:val="00D96BCC"/>
    <w:rsid w:val="00DB08E5"/>
    <w:rsid w:val="00DB25E0"/>
    <w:rsid w:val="00DE0C0A"/>
    <w:rsid w:val="00E42111"/>
    <w:rsid w:val="00E44C95"/>
    <w:rsid w:val="00E62B37"/>
    <w:rsid w:val="00E62DC8"/>
    <w:rsid w:val="00E724D7"/>
    <w:rsid w:val="00E8362A"/>
    <w:rsid w:val="00E944EA"/>
    <w:rsid w:val="00EA12E9"/>
    <w:rsid w:val="00EB6011"/>
    <w:rsid w:val="00ED1E23"/>
    <w:rsid w:val="00EE6B11"/>
    <w:rsid w:val="00F07401"/>
    <w:rsid w:val="00F164FA"/>
    <w:rsid w:val="00F20AFC"/>
    <w:rsid w:val="00F23855"/>
    <w:rsid w:val="00F36EBA"/>
    <w:rsid w:val="00F43FFC"/>
    <w:rsid w:val="00F71E04"/>
    <w:rsid w:val="00F82F2D"/>
    <w:rsid w:val="00FB00CE"/>
    <w:rsid w:val="00FC7027"/>
    <w:rsid w:val="00FE73C3"/>
    <w:rsid w:val="00FF6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AF8"/>
    <w:rPr>
      <w:sz w:val="24"/>
      <w:szCs w:val="24"/>
    </w:rPr>
  </w:style>
  <w:style w:type="paragraph" w:styleId="1">
    <w:name w:val="heading 1"/>
    <w:basedOn w:val="a"/>
    <w:next w:val="a"/>
    <w:qFormat/>
    <w:rsid w:val="00B307A3"/>
    <w:pPr>
      <w:keepNext/>
      <w:outlineLvl w:val="0"/>
    </w:pPr>
    <w:rPr>
      <w:b/>
      <w:sz w:val="26"/>
      <w:szCs w:val="28"/>
    </w:rPr>
  </w:style>
  <w:style w:type="paragraph" w:styleId="2">
    <w:name w:val="heading 2"/>
    <w:basedOn w:val="a"/>
    <w:next w:val="a"/>
    <w:link w:val="20"/>
    <w:qFormat/>
    <w:rsid w:val="00AC4AA1"/>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16">
    <w:name w:val="text16"/>
    <w:basedOn w:val="a"/>
    <w:rsid w:val="00E944EA"/>
    <w:pPr>
      <w:spacing w:before="100" w:beforeAutospacing="1" w:after="100" w:afterAutospacing="1"/>
    </w:pPr>
  </w:style>
  <w:style w:type="character" w:styleId="a3">
    <w:name w:val="Hyperlink"/>
    <w:uiPriority w:val="99"/>
    <w:rsid w:val="00EA12E9"/>
    <w:rPr>
      <w:color w:val="0000FF"/>
      <w:u w:val="single"/>
    </w:rPr>
  </w:style>
  <w:style w:type="paragraph" w:styleId="a4">
    <w:name w:val="Body Text Indent"/>
    <w:basedOn w:val="a"/>
    <w:rsid w:val="00310A7E"/>
    <w:pPr>
      <w:ind w:firstLine="900"/>
      <w:jc w:val="both"/>
    </w:pPr>
    <w:rPr>
      <w:sz w:val="28"/>
      <w:szCs w:val="16"/>
    </w:rPr>
  </w:style>
  <w:style w:type="paragraph" w:styleId="a5">
    <w:name w:val="Body Text"/>
    <w:basedOn w:val="a"/>
    <w:rsid w:val="00193939"/>
    <w:pPr>
      <w:spacing w:after="120"/>
    </w:pPr>
  </w:style>
  <w:style w:type="paragraph" w:customStyle="1" w:styleId="21">
    <w:name w:val="çàãîëîâîê 2"/>
    <w:basedOn w:val="a"/>
    <w:next w:val="a"/>
    <w:rsid w:val="00716F88"/>
    <w:pPr>
      <w:keepNext/>
      <w:jc w:val="center"/>
    </w:pPr>
    <w:rPr>
      <w:sz w:val="22"/>
      <w:szCs w:val="20"/>
      <w:u w:val="single"/>
    </w:rPr>
  </w:style>
  <w:style w:type="paragraph" w:styleId="3">
    <w:name w:val="Body Text Indent 3"/>
    <w:basedOn w:val="a"/>
    <w:rsid w:val="00716F88"/>
    <w:pPr>
      <w:spacing w:after="120"/>
      <w:ind w:left="283"/>
    </w:pPr>
    <w:rPr>
      <w:sz w:val="16"/>
      <w:szCs w:val="16"/>
    </w:rPr>
  </w:style>
  <w:style w:type="paragraph" w:styleId="a6">
    <w:name w:val="Normal (Web)"/>
    <w:basedOn w:val="a"/>
    <w:rsid w:val="001E5783"/>
    <w:pPr>
      <w:spacing w:before="100" w:beforeAutospacing="1" w:after="100" w:afterAutospacing="1"/>
    </w:pPr>
  </w:style>
  <w:style w:type="character" w:styleId="a7">
    <w:name w:val="Strong"/>
    <w:qFormat/>
    <w:rsid w:val="001E5783"/>
    <w:rPr>
      <w:b/>
      <w:bCs/>
    </w:rPr>
  </w:style>
  <w:style w:type="character" w:customStyle="1" w:styleId="20">
    <w:name w:val="Заголовок 2 Знак"/>
    <w:link w:val="2"/>
    <w:rsid w:val="00AC4AA1"/>
    <w:rPr>
      <w:rFonts w:ascii="Cambria" w:eastAsia="Times New Roman" w:hAnsi="Cambria" w:cs="Times New Roman"/>
      <w:b/>
      <w:bCs/>
      <w:i/>
      <w:iCs/>
      <w:sz w:val="28"/>
      <w:szCs w:val="28"/>
    </w:rPr>
  </w:style>
  <w:style w:type="paragraph" w:customStyle="1" w:styleId="10">
    <w:name w:val="Абзац списка1"/>
    <w:basedOn w:val="a"/>
    <w:uiPriority w:val="99"/>
    <w:qFormat/>
    <w:rsid w:val="00F20AFC"/>
    <w:pPr>
      <w:ind w:left="720"/>
    </w:pPr>
    <w:rPr>
      <w:rFonts w:eastAsia="Calibri"/>
    </w:rPr>
  </w:style>
  <w:style w:type="paragraph" w:styleId="a8">
    <w:name w:val="List Paragraph"/>
    <w:basedOn w:val="a"/>
    <w:uiPriority w:val="34"/>
    <w:qFormat/>
    <w:rsid w:val="00F20AFC"/>
    <w:pPr>
      <w:ind w:left="720"/>
    </w:pPr>
    <w:rPr>
      <w:rFonts w:eastAsia="Calibri"/>
    </w:rPr>
  </w:style>
  <w:style w:type="paragraph" w:customStyle="1" w:styleId="11">
    <w:name w:val="Основной текст с отступом1"/>
    <w:basedOn w:val="a"/>
    <w:link w:val="BodyTextIndentChar"/>
    <w:uiPriority w:val="99"/>
    <w:rsid w:val="00F20AFC"/>
    <w:pPr>
      <w:autoSpaceDE w:val="0"/>
      <w:autoSpaceDN w:val="0"/>
      <w:jc w:val="both"/>
    </w:pPr>
    <w:rPr>
      <w:rFonts w:eastAsia="Calibri"/>
      <w:color w:val="000000"/>
      <w:sz w:val="20"/>
      <w:szCs w:val="20"/>
      <w:lang w:val="x-none" w:eastAsia="x-none"/>
    </w:rPr>
  </w:style>
  <w:style w:type="character" w:customStyle="1" w:styleId="BodyTextIndentChar">
    <w:name w:val="Body Text Indent Char"/>
    <w:link w:val="11"/>
    <w:uiPriority w:val="99"/>
    <w:rsid w:val="00F20AFC"/>
    <w:rPr>
      <w:rFonts w:eastAsia="Calibri"/>
      <w:color w:val="000000"/>
    </w:rPr>
  </w:style>
  <w:style w:type="paragraph" w:customStyle="1" w:styleId="22">
    <w:name w:val="Абзац списка2"/>
    <w:basedOn w:val="a"/>
    <w:rsid w:val="000F1999"/>
    <w:pPr>
      <w:ind w:left="720"/>
    </w:pPr>
  </w:style>
  <w:style w:type="paragraph" w:customStyle="1" w:styleId="30">
    <w:name w:val="Абзац списка3"/>
    <w:basedOn w:val="a"/>
    <w:rsid w:val="00AB4EFC"/>
    <w:pPr>
      <w:ind w:left="720"/>
    </w:pPr>
    <w:rPr>
      <w:rFonts w:eastAsia="Calibri"/>
    </w:rPr>
  </w:style>
  <w:style w:type="paragraph" w:customStyle="1" w:styleId="110">
    <w:name w:val="Основной текст с отступом11"/>
    <w:basedOn w:val="a"/>
    <w:rsid w:val="00E42111"/>
    <w:pPr>
      <w:autoSpaceDE w:val="0"/>
      <w:autoSpaceDN w:val="0"/>
      <w:jc w:val="both"/>
    </w:pPr>
    <w:rPr>
      <w:color w:val="000000"/>
      <w:sz w:val="20"/>
      <w:szCs w:val="20"/>
    </w:rPr>
  </w:style>
  <w:style w:type="paragraph" w:styleId="a9">
    <w:name w:val="Balloon Text"/>
    <w:basedOn w:val="a"/>
    <w:link w:val="aa"/>
    <w:rsid w:val="00466B30"/>
    <w:rPr>
      <w:rFonts w:ascii="Tahoma" w:hAnsi="Tahoma"/>
      <w:sz w:val="16"/>
      <w:szCs w:val="16"/>
      <w:lang w:val="x-none" w:eastAsia="x-none"/>
    </w:rPr>
  </w:style>
  <w:style w:type="character" w:customStyle="1" w:styleId="aa">
    <w:name w:val="Текст выноски Знак"/>
    <w:link w:val="a9"/>
    <w:rsid w:val="00466B30"/>
    <w:rPr>
      <w:rFonts w:ascii="Tahoma" w:hAnsi="Tahoma" w:cs="Tahoma"/>
      <w:sz w:val="16"/>
      <w:szCs w:val="16"/>
    </w:rPr>
  </w:style>
  <w:style w:type="character" w:styleId="ab">
    <w:name w:val="Emphasis"/>
    <w:qFormat/>
    <w:rsid w:val="00ED1E23"/>
    <w:rPr>
      <w:i/>
      <w:iCs/>
    </w:rPr>
  </w:style>
  <w:style w:type="paragraph" w:styleId="ac">
    <w:name w:val="Title"/>
    <w:basedOn w:val="a"/>
    <w:next w:val="a"/>
    <w:link w:val="ad"/>
    <w:uiPriority w:val="10"/>
    <w:qFormat/>
    <w:rsid w:val="00474D92"/>
    <w:pPr>
      <w:widowControl w:val="0"/>
      <w:autoSpaceDE w:val="0"/>
      <w:autoSpaceDN w:val="0"/>
      <w:adjustRightInd w:val="0"/>
      <w:contextualSpacing/>
    </w:pPr>
    <w:rPr>
      <w:rFonts w:ascii="Cambria" w:hAnsi="Cambria"/>
      <w:spacing w:val="-10"/>
      <w:kern w:val="28"/>
      <w:sz w:val="56"/>
      <w:szCs w:val="56"/>
      <w:lang w:val="x-none" w:eastAsia="x-none"/>
    </w:rPr>
  </w:style>
  <w:style w:type="character" w:customStyle="1" w:styleId="ad">
    <w:name w:val="Название Знак"/>
    <w:link w:val="ac"/>
    <w:uiPriority w:val="10"/>
    <w:rsid w:val="00474D92"/>
    <w:rPr>
      <w:rFonts w:ascii="Cambria" w:hAnsi="Cambria"/>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6AF8"/>
    <w:rPr>
      <w:sz w:val="24"/>
      <w:szCs w:val="24"/>
    </w:rPr>
  </w:style>
  <w:style w:type="paragraph" w:styleId="1">
    <w:name w:val="heading 1"/>
    <w:basedOn w:val="a"/>
    <w:next w:val="a"/>
    <w:qFormat/>
    <w:rsid w:val="00B307A3"/>
    <w:pPr>
      <w:keepNext/>
      <w:outlineLvl w:val="0"/>
    </w:pPr>
    <w:rPr>
      <w:b/>
      <w:sz w:val="26"/>
      <w:szCs w:val="28"/>
    </w:rPr>
  </w:style>
  <w:style w:type="paragraph" w:styleId="2">
    <w:name w:val="heading 2"/>
    <w:basedOn w:val="a"/>
    <w:next w:val="a"/>
    <w:link w:val="20"/>
    <w:qFormat/>
    <w:rsid w:val="00AC4AA1"/>
    <w:pPr>
      <w:keepNext/>
      <w:spacing w:before="240" w:after="60"/>
      <w:outlineLvl w:val="1"/>
    </w:pPr>
    <w:rPr>
      <w:rFonts w:ascii="Cambria" w:hAnsi="Cambria"/>
      <w:b/>
      <w:bCs/>
      <w:i/>
      <w:iCs/>
      <w:sz w:val="28"/>
      <w:szCs w:val="28"/>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text16">
    <w:name w:val="text16"/>
    <w:basedOn w:val="a"/>
    <w:rsid w:val="00E944EA"/>
    <w:pPr>
      <w:spacing w:before="100" w:beforeAutospacing="1" w:after="100" w:afterAutospacing="1"/>
    </w:pPr>
  </w:style>
  <w:style w:type="character" w:styleId="a3">
    <w:name w:val="Hyperlink"/>
    <w:uiPriority w:val="99"/>
    <w:rsid w:val="00EA12E9"/>
    <w:rPr>
      <w:color w:val="0000FF"/>
      <w:u w:val="single"/>
    </w:rPr>
  </w:style>
  <w:style w:type="paragraph" w:styleId="a4">
    <w:name w:val="Body Text Indent"/>
    <w:basedOn w:val="a"/>
    <w:rsid w:val="00310A7E"/>
    <w:pPr>
      <w:ind w:firstLine="900"/>
      <w:jc w:val="both"/>
    </w:pPr>
    <w:rPr>
      <w:sz w:val="28"/>
      <w:szCs w:val="16"/>
    </w:rPr>
  </w:style>
  <w:style w:type="paragraph" w:styleId="a5">
    <w:name w:val="Body Text"/>
    <w:basedOn w:val="a"/>
    <w:rsid w:val="00193939"/>
    <w:pPr>
      <w:spacing w:after="120"/>
    </w:pPr>
  </w:style>
  <w:style w:type="paragraph" w:customStyle="1" w:styleId="21">
    <w:name w:val="çàãîëîâîê 2"/>
    <w:basedOn w:val="a"/>
    <w:next w:val="a"/>
    <w:rsid w:val="00716F88"/>
    <w:pPr>
      <w:keepNext/>
      <w:jc w:val="center"/>
    </w:pPr>
    <w:rPr>
      <w:sz w:val="22"/>
      <w:szCs w:val="20"/>
      <w:u w:val="single"/>
    </w:rPr>
  </w:style>
  <w:style w:type="paragraph" w:styleId="3">
    <w:name w:val="Body Text Indent 3"/>
    <w:basedOn w:val="a"/>
    <w:rsid w:val="00716F88"/>
    <w:pPr>
      <w:spacing w:after="120"/>
      <w:ind w:left="283"/>
    </w:pPr>
    <w:rPr>
      <w:sz w:val="16"/>
      <w:szCs w:val="16"/>
    </w:rPr>
  </w:style>
  <w:style w:type="paragraph" w:styleId="a6">
    <w:name w:val="Normal (Web)"/>
    <w:basedOn w:val="a"/>
    <w:rsid w:val="001E5783"/>
    <w:pPr>
      <w:spacing w:before="100" w:beforeAutospacing="1" w:after="100" w:afterAutospacing="1"/>
    </w:pPr>
  </w:style>
  <w:style w:type="character" w:styleId="a7">
    <w:name w:val="Strong"/>
    <w:qFormat/>
    <w:rsid w:val="001E5783"/>
    <w:rPr>
      <w:b/>
      <w:bCs/>
    </w:rPr>
  </w:style>
  <w:style w:type="character" w:customStyle="1" w:styleId="20">
    <w:name w:val="Заголовок 2 Знак"/>
    <w:link w:val="2"/>
    <w:rsid w:val="00AC4AA1"/>
    <w:rPr>
      <w:rFonts w:ascii="Cambria" w:eastAsia="Times New Roman" w:hAnsi="Cambria" w:cs="Times New Roman"/>
      <w:b/>
      <w:bCs/>
      <w:i/>
      <w:iCs/>
      <w:sz w:val="28"/>
      <w:szCs w:val="28"/>
    </w:rPr>
  </w:style>
  <w:style w:type="paragraph" w:customStyle="1" w:styleId="10">
    <w:name w:val="Абзац списка1"/>
    <w:basedOn w:val="a"/>
    <w:uiPriority w:val="99"/>
    <w:qFormat/>
    <w:rsid w:val="00F20AFC"/>
    <w:pPr>
      <w:ind w:left="720"/>
    </w:pPr>
    <w:rPr>
      <w:rFonts w:eastAsia="Calibri"/>
    </w:rPr>
  </w:style>
  <w:style w:type="paragraph" w:styleId="a8">
    <w:name w:val="List Paragraph"/>
    <w:basedOn w:val="a"/>
    <w:uiPriority w:val="34"/>
    <w:qFormat/>
    <w:rsid w:val="00F20AFC"/>
    <w:pPr>
      <w:ind w:left="720"/>
    </w:pPr>
    <w:rPr>
      <w:rFonts w:eastAsia="Calibri"/>
    </w:rPr>
  </w:style>
  <w:style w:type="paragraph" w:customStyle="1" w:styleId="11">
    <w:name w:val="Основной текст с отступом1"/>
    <w:basedOn w:val="a"/>
    <w:link w:val="BodyTextIndentChar"/>
    <w:uiPriority w:val="99"/>
    <w:rsid w:val="00F20AFC"/>
    <w:pPr>
      <w:autoSpaceDE w:val="0"/>
      <w:autoSpaceDN w:val="0"/>
      <w:jc w:val="both"/>
    </w:pPr>
    <w:rPr>
      <w:rFonts w:eastAsia="Calibri"/>
      <w:color w:val="000000"/>
      <w:sz w:val="20"/>
      <w:szCs w:val="20"/>
      <w:lang w:val="x-none" w:eastAsia="x-none"/>
    </w:rPr>
  </w:style>
  <w:style w:type="character" w:customStyle="1" w:styleId="BodyTextIndentChar">
    <w:name w:val="Body Text Indent Char"/>
    <w:link w:val="11"/>
    <w:uiPriority w:val="99"/>
    <w:rsid w:val="00F20AFC"/>
    <w:rPr>
      <w:rFonts w:eastAsia="Calibri"/>
      <w:color w:val="000000"/>
    </w:rPr>
  </w:style>
  <w:style w:type="paragraph" w:customStyle="1" w:styleId="22">
    <w:name w:val="Абзац списка2"/>
    <w:basedOn w:val="a"/>
    <w:rsid w:val="000F1999"/>
    <w:pPr>
      <w:ind w:left="720"/>
    </w:pPr>
  </w:style>
  <w:style w:type="paragraph" w:customStyle="1" w:styleId="30">
    <w:name w:val="Абзац списка3"/>
    <w:basedOn w:val="a"/>
    <w:rsid w:val="00AB4EFC"/>
    <w:pPr>
      <w:ind w:left="720"/>
    </w:pPr>
    <w:rPr>
      <w:rFonts w:eastAsia="Calibri"/>
    </w:rPr>
  </w:style>
  <w:style w:type="paragraph" w:customStyle="1" w:styleId="110">
    <w:name w:val="Основной текст с отступом11"/>
    <w:basedOn w:val="a"/>
    <w:rsid w:val="00E42111"/>
    <w:pPr>
      <w:autoSpaceDE w:val="0"/>
      <w:autoSpaceDN w:val="0"/>
      <w:jc w:val="both"/>
    </w:pPr>
    <w:rPr>
      <w:color w:val="000000"/>
      <w:sz w:val="20"/>
      <w:szCs w:val="20"/>
    </w:rPr>
  </w:style>
  <w:style w:type="paragraph" w:styleId="a9">
    <w:name w:val="Balloon Text"/>
    <w:basedOn w:val="a"/>
    <w:link w:val="aa"/>
    <w:rsid w:val="00466B30"/>
    <w:rPr>
      <w:rFonts w:ascii="Tahoma" w:hAnsi="Tahoma"/>
      <w:sz w:val="16"/>
      <w:szCs w:val="16"/>
      <w:lang w:val="x-none" w:eastAsia="x-none"/>
    </w:rPr>
  </w:style>
  <w:style w:type="character" w:customStyle="1" w:styleId="aa">
    <w:name w:val="Текст выноски Знак"/>
    <w:link w:val="a9"/>
    <w:rsid w:val="00466B30"/>
    <w:rPr>
      <w:rFonts w:ascii="Tahoma" w:hAnsi="Tahoma" w:cs="Tahoma"/>
      <w:sz w:val="16"/>
      <w:szCs w:val="16"/>
    </w:rPr>
  </w:style>
  <w:style w:type="character" w:styleId="ab">
    <w:name w:val="Emphasis"/>
    <w:qFormat/>
    <w:rsid w:val="00ED1E23"/>
    <w:rPr>
      <w:i/>
      <w:iCs/>
    </w:rPr>
  </w:style>
  <w:style w:type="paragraph" w:styleId="ac">
    <w:name w:val="Title"/>
    <w:basedOn w:val="a"/>
    <w:next w:val="a"/>
    <w:link w:val="ad"/>
    <w:uiPriority w:val="10"/>
    <w:qFormat/>
    <w:rsid w:val="00474D92"/>
    <w:pPr>
      <w:widowControl w:val="0"/>
      <w:autoSpaceDE w:val="0"/>
      <w:autoSpaceDN w:val="0"/>
      <w:adjustRightInd w:val="0"/>
      <w:contextualSpacing/>
    </w:pPr>
    <w:rPr>
      <w:rFonts w:ascii="Cambria" w:hAnsi="Cambria"/>
      <w:spacing w:val="-10"/>
      <w:kern w:val="28"/>
      <w:sz w:val="56"/>
      <w:szCs w:val="56"/>
      <w:lang w:val="x-none" w:eastAsia="x-none"/>
    </w:rPr>
  </w:style>
  <w:style w:type="character" w:customStyle="1" w:styleId="ad">
    <w:name w:val="Название Знак"/>
    <w:link w:val="ac"/>
    <w:uiPriority w:val="10"/>
    <w:rsid w:val="00474D92"/>
    <w:rPr>
      <w:rFonts w:ascii="Cambria" w:hAnsi="Cambria"/>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14791">
      <w:bodyDiv w:val="1"/>
      <w:marLeft w:val="0"/>
      <w:marRight w:val="0"/>
      <w:marTop w:val="0"/>
      <w:marBottom w:val="0"/>
      <w:divBdr>
        <w:top w:val="none" w:sz="0" w:space="0" w:color="auto"/>
        <w:left w:val="none" w:sz="0" w:space="0" w:color="auto"/>
        <w:bottom w:val="none" w:sz="0" w:space="0" w:color="auto"/>
        <w:right w:val="none" w:sz="0" w:space="0" w:color="auto"/>
      </w:divBdr>
    </w:div>
    <w:div w:id="562763291">
      <w:bodyDiv w:val="1"/>
      <w:marLeft w:val="0"/>
      <w:marRight w:val="0"/>
      <w:marTop w:val="0"/>
      <w:marBottom w:val="0"/>
      <w:divBdr>
        <w:top w:val="none" w:sz="0" w:space="0" w:color="auto"/>
        <w:left w:val="none" w:sz="0" w:space="0" w:color="auto"/>
        <w:bottom w:val="none" w:sz="0" w:space="0" w:color="auto"/>
        <w:right w:val="none" w:sz="0" w:space="0" w:color="auto"/>
      </w:divBdr>
    </w:div>
    <w:div w:id="654652088">
      <w:bodyDiv w:val="1"/>
      <w:marLeft w:val="0"/>
      <w:marRight w:val="0"/>
      <w:marTop w:val="0"/>
      <w:marBottom w:val="0"/>
      <w:divBdr>
        <w:top w:val="none" w:sz="0" w:space="0" w:color="auto"/>
        <w:left w:val="none" w:sz="0" w:space="0" w:color="auto"/>
        <w:bottom w:val="none" w:sz="0" w:space="0" w:color="auto"/>
        <w:right w:val="none" w:sz="0" w:space="0" w:color="auto"/>
      </w:divBdr>
    </w:div>
    <w:div w:id="655652349">
      <w:bodyDiv w:val="1"/>
      <w:marLeft w:val="0"/>
      <w:marRight w:val="0"/>
      <w:marTop w:val="0"/>
      <w:marBottom w:val="0"/>
      <w:divBdr>
        <w:top w:val="none" w:sz="0" w:space="0" w:color="auto"/>
        <w:left w:val="none" w:sz="0" w:space="0" w:color="auto"/>
        <w:bottom w:val="none" w:sz="0" w:space="0" w:color="auto"/>
        <w:right w:val="none" w:sz="0" w:space="0" w:color="auto"/>
      </w:divBdr>
    </w:div>
    <w:div w:id="666372047">
      <w:bodyDiv w:val="1"/>
      <w:marLeft w:val="0"/>
      <w:marRight w:val="0"/>
      <w:marTop w:val="0"/>
      <w:marBottom w:val="0"/>
      <w:divBdr>
        <w:top w:val="none" w:sz="0" w:space="0" w:color="auto"/>
        <w:left w:val="none" w:sz="0" w:space="0" w:color="auto"/>
        <w:bottom w:val="none" w:sz="0" w:space="0" w:color="auto"/>
        <w:right w:val="none" w:sz="0" w:space="0" w:color="auto"/>
      </w:divBdr>
    </w:div>
    <w:div w:id="763234379">
      <w:bodyDiv w:val="1"/>
      <w:marLeft w:val="0"/>
      <w:marRight w:val="0"/>
      <w:marTop w:val="0"/>
      <w:marBottom w:val="0"/>
      <w:divBdr>
        <w:top w:val="none" w:sz="0" w:space="0" w:color="auto"/>
        <w:left w:val="none" w:sz="0" w:space="0" w:color="auto"/>
        <w:bottom w:val="none" w:sz="0" w:space="0" w:color="auto"/>
        <w:right w:val="none" w:sz="0" w:space="0" w:color="auto"/>
      </w:divBdr>
    </w:div>
    <w:div w:id="809982044">
      <w:bodyDiv w:val="1"/>
      <w:marLeft w:val="0"/>
      <w:marRight w:val="0"/>
      <w:marTop w:val="0"/>
      <w:marBottom w:val="0"/>
      <w:divBdr>
        <w:top w:val="none" w:sz="0" w:space="0" w:color="auto"/>
        <w:left w:val="none" w:sz="0" w:space="0" w:color="auto"/>
        <w:bottom w:val="none" w:sz="0" w:space="0" w:color="auto"/>
        <w:right w:val="none" w:sz="0" w:space="0" w:color="auto"/>
      </w:divBdr>
    </w:div>
    <w:div w:id="970553127">
      <w:bodyDiv w:val="1"/>
      <w:marLeft w:val="0"/>
      <w:marRight w:val="0"/>
      <w:marTop w:val="0"/>
      <w:marBottom w:val="0"/>
      <w:divBdr>
        <w:top w:val="none" w:sz="0" w:space="0" w:color="auto"/>
        <w:left w:val="none" w:sz="0" w:space="0" w:color="auto"/>
        <w:bottom w:val="none" w:sz="0" w:space="0" w:color="auto"/>
        <w:right w:val="none" w:sz="0" w:space="0" w:color="auto"/>
      </w:divBdr>
    </w:div>
    <w:div w:id="164360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b-center@mail.ru" TargetMode="External"/><Relationship Id="rId3" Type="http://schemas.openxmlformats.org/officeDocument/2006/relationships/styles" Target="styles.xml"/><Relationship Id="rId7" Type="http://schemas.openxmlformats.org/officeDocument/2006/relationships/hyperlink" Target="mailto:tb-cente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FD4E3-35E1-426D-AB7D-F321A0783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1533</Words>
  <Characters>8739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Company>
  <LinksUpToDate>false</LinksUpToDate>
  <CharactersWithSpaces>10252</CharactersWithSpaces>
  <SharedDoc>false</SharedDoc>
  <HLinks>
    <vt:vector size="6" baseType="variant">
      <vt:variant>
        <vt:i4>458879</vt:i4>
      </vt:variant>
      <vt:variant>
        <vt:i4>0</vt:i4>
      </vt:variant>
      <vt:variant>
        <vt:i4>0</vt:i4>
      </vt:variant>
      <vt:variant>
        <vt:i4>5</vt:i4>
      </vt:variant>
      <vt:variant>
        <vt:lpwstr>mailto:tb-center@mail.ru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dima</dc:creator>
  <cp:keywords/>
  <cp:lastModifiedBy>Алексей А. Ефремов</cp:lastModifiedBy>
  <cp:revision>2</cp:revision>
  <cp:lastPrinted>2017-10-20T04:22:00Z</cp:lastPrinted>
  <dcterms:created xsi:type="dcterms:W3CDTF">2018-10-04T07:16:00Z</dcterms:created>
  <dcterms:modified xsi:type="dcterms:W3CDTF">2018-10-04T07:16:00Z</dcterms:modified>
</cp:coreProperties>
</file>